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jc w:val="center"/>
        <w:rPr>
          <w:rFonts w:ascii="Garamond" w:hAnsi="Garamond"/>
          <w:b/>
          <w:color w:val="FFFFFF" w:themeColor="background1"/>
          <w:sz w:val="40"/>
          <w:szCs w:val="24"/>
          <w14:textFill>
            <w14:solidFill>
              <w14:schemeClr w14:val="bg1"/>
            </w14:solidFill>
          </w14:textFill>
        </w:rPr>
      </w:pPr>
      <w:r>
        <w:rPr>
          <w:rFonts w:ascii="Garamond" w:hAnsi="Garamond"/>
          <w:b/>
          <w:color w:val="FFFFFF" w:themeColor="background1"/>
          <w:sz w:val="40"/>
          <w:szCs w:val="24"/>
          <w14:textFill>
            <w14:solidFill>
              <w14:schemeClr w14:val="bg1"/>
            </w14:solidFill>
          </w14:textFill>
        </w:rPr>
        <w:drawing>
          <wp:anchor distT="0" distB="0" distL="114300" distR="114300" simplePos="0" relativeHeight="251672576" behindDoc="1" locked="0" layoutInCell="1" allowOverlap="1">
            <wp:simplePos x="0" y="0"/>
            <wp:positionH relativeFrom="column">
              <wp:posOffset>-900430</wp:posOffset>
            </wp:positionH>
            <wp:positionV relativeFrom="paragraph">
              <wp:posOffset>-900430</wp:posOffset>
            </wp:positionV>
            <wp:extent cx="7575550" cy="10732135"/>
            <wp:effectExtent l="0" t="0" r="6350" b="0"/>
            <wp:wrapThrough wrapText="bothSides">
              <wp:wrapPolygon>
                <wp:start x="0" y="0"/>
                <wp:lineTo x="0" y="21548"/>
                <wp:lineTo x="21564" y="21548"/>
                <wp:lineTo x="21564"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5550" cy="10732135"/>
                    </a:xfrm>
                    <a:prstGeom prst="rect">
                      <a:avLst/>
                    </a:prstGeom>
                  </pic:spPr>
                </pic:pic>
              </a:graphicData>
            </a:graphic>
          </wp:anchor>
        </w:drawing>
      </w:r>
      <w:r>
        <w:rPr>
          <w:rFonts w:ascii="Garamond" w:hAnsi="Garamond"/>
          <w:b/>
          <w:color w:val="FFFFFF" w:themeColor="background1"/>
          <w:sz w:val="40"/>
          <w:szCs w:val="24"/>
          <w14:textFill>
            <w14:solidFill>
              <w14:schemeClr w14:val="bg1"/>
            </w14:solidFill>
          </w14:textFill>
        </w:rPr>
        <w:br w:type="page"/>
      </w:r>
    </w:p>
    <w:sdt>
      <w:sdtPr>
        <w:id w:val="1225264283"/>
        <w:docPartObj>
          <w:docPartGallery w:val="Table of Contents"/>
          <w:docPartUnique/>
        </w:docPartObj>
      </w:sdtPr>
      <w:sdtEndPr>
        <w:rPr>
          <w:b/>
          <w:bCs/>
        </w:rPr>
      </w:sdtEndPr>
      <w:sdtContent>
        <w:p>
          <w:pPr>
            <w:jc w:val="center"/>
            <w:rPr>
              <w:rFonts w:ascii="Garamond" w:hAnsi="Garamond"/>
              <w:b/>
              <w:bCs/>
              <w:color w:val="008037"/>
              <w:sz w:val="40"/>
              <w:szCs w:val="40"/>
            </w:rPr>
          </w:pPr>
          <w:r>
            <w:rPr>
              <w:rFonts w:ascii="Garamond" w:hAnsi="Garamond"/>
              <w:b/>
              <w:bCs/>
              <w:color w:val="008037"/>
              <w:sz w:val="40"/>
              <w:szCs w:val="40"/>
            </w:rPr>
            <w:t>Sommaire</w:t>
          </w:r>
        </w:p>
        <w:p>
          <w:pPr>
            <w:pStyle w:val="15"/>
            <w:tabs>
              <w:tab w:val="right" w:leader="dot" w:pos="9060"/>
            </w:tabs>
            <w:rPr>
              <w:rFonts w:eastAsiaTheme="minorEastAsia"/>
              <w:lang w:eastAsia="fr-FR"/>
            </w:rPr>
          </w:pPr>
          <w:r>
            <w:fldChar w:fldCharType="begin"/>
          </w:r>
          <w:r>
            <w:instrText xml:space="preserve"> TOC \o "1-3" \h \z \u </w:instrText>
          </w:r>
          <w:r>
            <w:fldChar w:fldCharType="separate"/>
          </w:r>
          <w:r>
            <w:fldChar w:fldCharType="begin"/>
          </w:r>
          <w:r>
            <w:instrText xml:space="preserve"> HYPERLINK \l "_Toc70942449" </w:instrText>
          </w:r>
          <w:r>
            <w:fldChar w:fldCharType="separate"/>
          </w:r>
          <w:r>
            <w:rPr>
              <w:rStyle w:val="7"/>
              <w:rFonts w:ascii="Garamond" w:hAnsi="Garamond"/>
              <w:b/>
              <w:bCs/>
            </w:rPr>
            <w:t>Introduction</w:t>
          </w:r>
          <w:r>
            <w:tab/>
          </w:r>
          <w:r>
            <w:fldChar w:fldCharType="begin"/>
          </w:r>
          <w:r>
            <w:instrText xml:space="preserve"> PAGEREF _Toc70942449 \h </w:instrText>
          </w:r>
          <w:r>
            <w:fldChar w:fldCharType="separate"/>
          </w:r>
          <w:r>
            <w:t>3</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"_Toc70942450" </w:instrText>
          </w:r>
          <w:r>
            <w:fldChar w:fldCharType="separate"/>
          </w:r>
          <w:r>
            <w:rPr>
              <w:rStyle w:val="7"/>
              <w:rFonts w:ascii="Garamond" w:hAnsi="Garamond"/>
              <w:b/>
              <w:bCs/>
            </w:rPr>
            <w:t>1.</w:t>
          </w:r>
          <w:r>
            <w:rPr>
              <w:rFonts w:eastAsiaTheme="minorEastAsia"/>
              <w:lang w:eastAsia="fr-FR"/>
            </w:rPr>
            <w:tab/>
          </w:r>
          <w:r>
            <w:rPr>
              <w:rStyle w:val="7"/>
              <w:rFonts w:ascii="Garamond" w:hAnsi="Garamond"/>
              <w:b/>
              <w:bCs/>
            </w:rPr>
            <w:t>Objectifs du programme national de recherche sur la sécurité énergétique :</w:t>
          </w:r>
          <w:r>
            <w:tab/>
          </w:r>
          <w:r>
            <w:fldChar w:fldCharType="begin"/>
          </w:r>
          <w:r>
            <w:instrText xml:space="preserve"> PAGEREF _Toc70942450 \h </w:instrText>
          </w:r>
          <w:r>
            <w:fldChar w:fldCharType="separate"/>
          </w:r>
          <w:r>
            <w:t>3</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"_Toc70942451" </w:instrText>
          </w:r>
          <w:r>
            <w:fldChar w:fldCharType="separate"/>
          </w:r>
          <w:r>
            <w:rPr>
              <w:rStyle w:val="7"/>
              <w:rFonts w:ascii="Garamond" w:hAnsi="Garamond"/>
              <w:b/>
              <w:bCs/>
            </w:rPr>
            <w:t>2.</w:t>
          </w:r>
          <w:r>
            <w:rPr>
              <w:rFonts w:eastAsiaTheme="minorEastAsia"/>
              <w:lang w:eastAsia="fr-FR"/>
            </w:rPr>
            <w:tab/>
          </w:r>
          <w:r>
            <w:rPr>
              <w:rStyle w:val="7"/>
              <w:rFonts w:ascii="Garamond" w:hAnsi="Garamond"/>
              <w:b/>
              <w:bCs/>
            </w:rPr>
            <w:t>Contenu du Programme de recherche :</w:t>
          </w:r>
          <w:r>
            <w:tab/>
          </w:r>
          <w:r>
            <w:fldChar w:fldCharType="begin"/>
          </w:r>
          <w:r>
            <w:instrText xml:space="preserve"> PAGEREF _Toc70942451 \h </w:instrText>
          </w:r>
          <w:r>
            <w:fldChar w:fldCharType="separate"/>
          </w:r>
          <w:r>
            <w:t>4</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"_Toc70942452" </w:instrText>
          </w:r>
          <w:r>
            <w:fldChar w:fldCharType="separate"/>
          </w:r>
          <w:r>
            <w:rPr>
              <w:rStyle w:val="7"/>
              <w:rFonts w:ascii="Garamond" w:hAnsi="Garamond" w:eastAsia="Calibri"/>
            </w:rPr>
            <w:t>DOMAINE 1 : INTEGRATION AU RESEAU</w:t>
          </w:r>
          <w:r>
            <w:tab/>
          </w:r>
          <w:r>
            <w:fldChar w:fldCharType="begin"/>
          </w:r>
          <w:r>
            <w:instrText xml:space="preserve"> PAGEREF _Toc70942452 \h </w:instrText>
          </w:r>
          <w:r>
            <w:fldChar w:fldCharType="separate"/>
          </w:r>
          <w:r>
            <w:t>7</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"_Toc70942453" </w:instrText>
          </w:r>
          <w:r>
            <w:fldChar w:fldCharType="separate"/>
          </w:r>
          <w:r>
            <w:rPr>
              <w:rStyle w:val="7"/>
              <w:rFonts w:ascii="Garamond" w:hAnsi="Garamond" w:eastAsia="Calibri"/>
            </w:rPr>
            <w:t>DOMAINE 2 : GISEMENT DES ENERGIES RENOUVELABLES</w:t>
          </w:r>
          <w:r>
            <w:tab/>
          </w:r>
          <w:r>
            <w:fldChar w:fldCharType="begin"/>
          </w:r>
          <w:r>
            <w:instrText xml:space="preserve"> PAGEREF _Toc70942453 \h </w:instrText>
          </w:r>
          <w:r>
            <w:fldChar w:fldCharType="separate"/>
          </w:r>
          <w:r>
            <w:t>8</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"_Toc70942454" </w:instrText>
          </w:r>
          <w:r>
            <w:fldChar w:fldCharType="separate"/>
          </w:r>
          <w:r>
            <w:rPr>
              <w:rStyle w:val="7"/>
              <w:rFonts w:ascii="Garamond" w:hAnsi="Garamond" w:eastAsia="Calibri"/>
            </w:rPr>
            <w:t>DOMAINE 3 : ENERGIE SOLAIRE PHOTOVOLTAIQUE</w:t>
          </w:r>
          <w:r>
            <w:tab/>
          </w:r>
          <w:r>
            <w:fldChar w:fldCharType="begin"/>
          </w:r>
          <w:r>
            <w:instrText xml:space="preserve"> PAGEREF _Toc70942454 \h </w:instrText>
          </w:r>
          <w:r>
            <w:fldChar w:fldCharType="separate"/>
          </w:r>
          <w:r>
            <w:t>9</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"_Toc70942455" </w:instrText>
          </w:r>
          <w:r>
            <w:fldChar w:fldCharType="separate"/>
          </w:r>
          <w:r>
            <w:rPr>
              <w:rStyle w:val="7"/>
              <w:rFonts w:ascii="Garamond" w:hAnsi="Garamond" w:eastAsia="Calibri"/>
            </w:rPr>
            <w:t>DOMAINE 4 : ENERGIE EOLIENNE</w:t>
          </w:r>
          <w:r>
            <w:tab/>
          </w:r>
          <w:r>
            <w:fldChar w:fldCharType="begin"/>
          </w:r>
          <w:r>
            <w:instrText xml:space="preserve"> PAGEREF _Toc70942455 \h </w:instrText>
          </w:r>
          <w:r>
            <w:fldChar w:fldCharType="separate"/>
          </w:r>
          <w:r>
            <w:t>11</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"_Toc70942456" </w:instrText>
          </w:r>
          <w:r>
            <w:fldChar w:fldCharType="separate"/>
          </w:r>
          <w:r>
            <w:rPr>
              <w:rStyle w:val="7"/>
              <w:rFonts w:ascii="Garamond" w:hAnsi="Garamond" w:eastAsia="Calibri"/>
            </w:rPr>
            <w:t>DOMAINE 5 : EFFICACITE ENERGETIQUE DANS LE BÂTIMENT</w:t>
          </w:r>
          <w:r>
            <w:tab/>
          </w:r>
          <w:r>
            <w:fldChar w:fldCharType="begin"/>
          </w:r>
          <w:r>
            <w:instrText xml:space="preserve"> PAGEREF _Toc70942456 \h </w:instrText>
          </w:r>
          <w:r>
            <w:fldChar w:fldCharType="separate"/>
          </w:r>
          <w:r>
            <w:t>13</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"_Toc70942457" </w:instrText>
          </w:r>
          <w:r>
            <w:fldChar w:fldCharType="separate"/>
          </w:r>
          <w:r>
            <w:rPr>
              <w:rStyle w:val="7"/>
              <w:rFonts w:ascii="Garamond" w:hAnsi="Garamond" w:eastAsia="Calibri"/>
            </w:rPr>
            <w:t>DOMAINE 6 : SYSTEMES HYBRIDES</w:t>
          </w:r>
          <w:r>
            <w:tab/>
          </w:r>
          <w:r>
            <w:fldChar w:fldCharType="begin"/>
          </w:r>
          <w:r>
            <w:instrText xml:space="preserve"> PAGEREF _Toc70942457 \h </w:instrText>
          </w:r>
          <w:r>
            <w:fldChar w:fldCharType="separate"/>
          </w:r>
          <w:r>
            <w:t>14</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"_Toc70942458" </w:instrText>
          </w:r>
          <w:r>
            <w:fldChar w:fldCharType="separate"/>
          </w:r>
          <w:r>
            <w:rPr>
              <w:rStyle w:val="7"/>
              <w:rFonts w:ascii="Garamond" w:hAnsi="Garamond" w:eastAsia="Calibri"/>
            </w:rPr>
            <w:t>DOMAINE 7 : ENERGIE SOLAIRE THERMIQUE</w:t>
          </w:r>
          <w:r>
            <w:tab/>
          </w:r>
          <w:r>
            <w:fldChar w:fldCharType="begin"/>
          </w:r>
          <w:r>
            <w:instrText xml:space="preserve"> PAGEREF _Toc70942458 \h </w:instrText>
          </w:r>
          <w:r>
            <w:fldChar w:fldCharType="separate"/>
          </w:r>
          <w:r>
            <w:t>15</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"_Toc70942459" </w:instrText>
          </w:r>
          <w:r>
            <w:fldChar w:fldCharType="separate"/>
          </w:r>
          <w:r>
            <w:rPr>
              <w:rStyle w:val="7"/>
              <w:rFonts w:ascii="Garamond" w:hAnsi="Garamond" w:eastAsia="Calibri"/>
            </w:rPr>
            <w:t>DOMAINE 8 : COGENERATION</w:t>
          </w:r>
          <w:r>
            <w:tab/>
          </w:r>
          <w:r>
            <w:fldChar w:fldCharType="begin"/>
          </w:r>
          <w:r>
            <w:instrText xml:space="preserve"> PAGEREF _Toc70942459 \h </w:instrText>
          </w:r>
          <w:r>
            <w:fldChar w:fldCharType="separate"/>
          </w:r>
          <w:r>
            <w:t>16</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"_Toc70942460" </w:instrText>
          </w:r>
          <w:r>
            <w:fldChar w:fldCharType="separate"/>
          </w:r>
          <w:r>
            <w:rPr>
              <w:rStyle w:val="7"/>
              <w:rFonts w:ascii="Garamond" w:hAnsi="Garamond" w:eastAsia="Calibri"/>
            </w:rPr>
            <w:t>DOMAINE 9 : EXPLOITATION ET MAINTENANCE DES CENTRALES EnR</w:t>
          </w:r>
          <w:r>
            <w:tab/>
          </w:r>
          <w:r>
            <w:fldChar w:fldCharType="begin"/>
          </w:r>
          <w:r>
            <w:instrText xml:space="preserve"> PAGEREF _Toc70942460 \h </w:instrText>
          </w:r>
          <w:r>
            <w:fldChar w:fldCharType="separate"/>
          </w:r>
          <w:r>
            <w:t>17</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"_Toc70942461" </w:instrText>
          </w:r>
          <w:r>
            <w:fldChar w:fldCharType="separate"/>
          </w:r>
          <w:r>
            <w:rPr>
              <w:rStyle w:val="7"/>
              <w:rFonts w:ascii="Garamond" w:hAnsi="Garamond" w:eastAsia="Calibri"/>
            </w:rPr>
            <w:t>DOMAINE 10 : STOCKAGE DE L’ENERGIE</w:t>
          </w:r>
          <w:r>
            <w:tab/>
          </w:r>
          <w:r>
            <w:fldChar w:fldCharType="begin"/>
          </w:r>
          <w:r>
            <w:instrText xml:space="preserve"> PAGEREF _Toc70942461 \h </w:instrText>
          </w:r>
          <w:r>
            <w:fldChar w:fldCharType="separate"/>
          </w:r>
          <w:r>
            <w:t>18</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"_Toc70942462" </w:instrText>
          </w:r>
          <w:r>
            <w:fldChar w:fldCharType="separate"/>
          </w:r>
          <w:r>
            <w:rPr>
              <w:rStyle w:val="7"/>
              <w:rFonts w:ascii="Garamond" w:hAnsi="Garamond" w:eastAsia="Calibri"/>
            </w:rPr>
            <w:t>DOMAINE 11 : ENERGIE GEOTHERMIQUE</w:t>
          </w:r>
          <w:r>
            <w:tab/>
          </w:r>
          <w:r>
            <w:fldChar w:fldCharType="begin"/>
          </w:r>
          <w:r>
            <w:instrText xml:space="preserve"> PAGEREF _Toc70942462 \h </w:instrText>
          </w:r>
          <w:r>
            <w:fldChar w:fldCharType="separate"/>
          </w:r>
          <w:r>
            <w:t>19</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"_Toc70942463" </w:instrText>
          </w:r>
          <w:r>
            <w:fldChar w:fldCharType="separate"/>
          </w:r>
          <w:r>
            <w:rPr>
              <w:rStyle w:val="7"/>
              <w:rFonts w:ascii="Garamond" w:hAnsi="Garamond" w:eastAsia="Calibri"/>
            </w:rPr>
            <w:t>DOMAINE 12 : BIOENERGIE</w:t>
          </w:r>
          <w:r>
            <w:tab/>
          </w:r>
          <w:r>
            <w:fldChar w:fldCharType="begin"/>
          </w:r>
          <w:r>
            <w:instrText xml:space="preserve"> PAGEREF _Toc70942463 \h </w:instrText>
          </w:r>
          <w:r>
            <w:fldChar w:fldCharType="separate"/>
          </w:r>
          <w:r>
            <w:t>20</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"_Toc70942464" </w:instrText>
          </w:r>
          <w:r>
            <w:fldChar w:fldCharType="separate"/>
          </w:r>
          <w:r>
            <w:rPr>
              <w:rStyle w:val="7"/>
              <w:rFonts w:ascii="Garamond" w:hAnsi="Garamond" w:eastAsia="Calibri"/>
            </w:rPr>
            <w:t>DOMAINE 13 : HYDROGENE ET PILES A COMBUSTIBLES</w:t>
          </w:r>
          <w:r>
            <w:tab/>
          </w:r>
          <w:r>
            <w:fldChar w:fldCharType="begin"/>
          </w:r>
          <w:r>
            <w:instrText xml:space="preserve"> PAGEREF _Toc70942464 \h </w:instrText>
          </w:r>
          <w:r>
            <w:fldChar w:fldCharType="separate"/>
          </w:r>
          <w:r>
            <w:t>21</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"_Toc70942465" </w:instrText>
          </w:r>
          <w:r>
            <w:fldChar w:fldCharType="separate"/>
          </w:r>
          <w:r>
            <w:rPr>
              <w:rStyle w:val="7"/>
              <w:rFonts w:ascii="Garamond" w:hAnsi="Garamond" w:eastAsia="Calibri"/>
            </w:rPr>
            <w:t>DOMAINE 14 : MATERIAUX</w:t>
          </w:r>
          <w:r>
            <w:tab/>
          </w:r>
          <w:r>
            <w:fldChar w:fldCharType="begin"/>
          </w:r>
          <w:r>
            <w:instrText xml:space="preserve"> PAGEREF _Toc70942465 \h </w:instrText>
          </w:r>
          <w:r>
            <w:fldChar w:fldCharType="separate"/>
          </w:r>
          <w:r>
            <w:t>22</w:t>
          </w:r>
          <w:r>
            <w:fldChar w:fldCharType="end"/>
          </w:r>
          <w:r>
            <w:fldChar w:fldCharType="end"/>
          </w:r>
        </w:p>
        <w:p>
          <w:pPr>
            <w:pStyle w:val="14"/>
            <w:tabs>
              <w:tab w:val="right" w:leader="dot" w:pos="9060"/>
            </w:tabs>
            <w:rPr>
              <w:rFonts w:eastAsiaTheme="minorEastAsia"/>
              <w:lang w:eastAsia="fr-FR"/>
            </w:rPr>
          </w:pPr>
          <w:r>
            <w:fldChar w:fldCharType="begin"/>
          </w:r>
          <w:r>
            <w:instrText xml:space="preserve"> HYPERLINK \l "_Toc70942466" </w:instrText>
          </w:r>
          <w:r>
            <w:fldChar w:fldCharType="separate"/>
          </w:r>
          <w:r>
            <w:rPr>
              <w:rStyle w:val="7"/>
              <w:rFonts w:ascii="Garamond" w:hAnsi="Garamond"/>
            </w:rPr>
            <w:t>DOMAINE 15 : HYDROCARBURES D’ORIGINE CONVENTIONNELLE ET NON CONVENTIONNELLE</w:t>
          </w:r>
          <w:r>
            <w:tab/>
          </w:r>
          <w:r>
            <w:fldChar w:fldCharType="begin"/>
          </w:r>
          <w:r>
            <w:instrText xml:space="preserve"> PAGEREF _Toc70942466 \h </w:instrText>
          </w:r>
          <w:r>
            <w:fldChar w:fldCharType="separate"/>
          </w:r>
          <w:r>
            <w:t>25</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"_Toc70942467" </w:instrText>
          </w:r>
          <w:r>
            <w:fldChar w:fldCharType="separate"/>
          </w:r>
          <w:r>
            <w:rPr>
              <w:rStyle w:val="7"/>
              <w:rFonts w:ascii="Garamond" w:hAnsi="Garamond"/>
              <w:b/>
              <w:bCs/>
            </w:rPr>
            <w:t>2.</w:t>
          </w:r>
          <w:r>
            <w:rPr>
              <w:rFonts w:eastAsiaTheme="minorEastAsia"/>
              <w:lang w:eastAsia="fr-FR"/>
            </w:rPr>
            <w:tab/>
          </w:r>
          <w:r>
            <w:rPr>
              <w:rStyle w:val="7"/>
              <w:rFonts w:ascii="Garamond" w:hAnsi="Garamond"/>
              <w:b/>
              <w:bCs/>
            </w:rPr>
            <w:t>Impacts attendus :</w:t>
          </w:r>
          <w:r>
            <w:tab/>
          </w:r>
          <w:r>
            <w:fldChar w:fldCharType="begin"/>
          </w:r>
          <w:r>
            <w:instrText xml:space="preserve"> PAGEREF _Toc70942467 \h </w:instrText>
          </w:r>
          <w:r>
            <w:fldChar w:fldCharType="separate"/>
          </w:r>
          <w:r>
            <w:t>29</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"_Toc70942468" </w:instrText>
          </w:r>
          <w:r>
            <w:fldChar w:fldCharType="separate"/>
          </w:r>
          <w:r>
            <w:rPr>
              <w:rStyle w:val="7"/>
              <w:rFonts w:ascii="Garamond" w:hAnsi="Garamond"/>
              <w:b/>
              <w:bCs/>
            </w:rPr>
            <w:t>3.</w:t>
          </w:r>
          <w:r>
            <w:rPr>
              <w:rFonts w:eastAsiaTheme="minorEastAsia"/>
              <w:lang w:eastAsia="fr-FR"/>
            </w:rPr>
            <w:tab/>
          </w:r>
          <w:r>
            <w:rPr>
              <w:rStyle w:val="7"/>
              <w:rFonts w:ascii="Garamond" w:hAnsi="Garamond"/>
              <w:b/>
              <w:bCs/>
            </w:rPr>
            <w:t>Calendrier :</w:t>
          </w:r>
          <w:r>
            <w:tab/>
          </w:r>
          <w:r>
            <w:fldChar w:fldCharType="begin"/>
          </w:r>
          <w:r>
            <w:instrText xml:space="preserve"> PAGEREF _Toc70942468 \h </w:instrText>
          </w:r>
          <w:r>
            <w:fldChar w:fldCharType="separate"/>
          </w:r>
          <w:r>
            <w:t>29</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"_Toc70942469" </w:instrText>
          </w:r>
          <w:r>
            <w:fldChar w:fldCharType="separate"/>
          </w:r>
          <w:r>
            <w:rPr>
              <w:rStyle w:val="7"/>
              <w:rFonts w:ascii="Garamond" w:hAnsi="Garamond"/>
              <w:b/>
              <w:bCs/>
            </w:rPr>
            <w:t>4.</w:t>
          </w:r>
          <w:r>
            <w:rPr>
              <w:rFonts w:eastAsiaTheme="minorEastAsia"/>
              <w:lang w:eastAsia="fr-FR"/>
            </w:rPr>
            <w:tab/>
          </w:r>
          <w:r>
            <w:rPr>
              <w:rStyle w:val="7"/>
              <w:rFonts w:ascii="Garamond" w:hAnsi="Garamond"/>
              <w:b/>
              <w:bCs/>
            </w:rPr>
            <w:t>Déroulement de la mise en œuvre des PNR</w:t>
          </w:r>
          <w:r>
            <w:tab/>
          </w:r>
          <w:r>
            <w:fldChar w:fldCharType="begin"/>
          </w:r>
          <w:r>
            <w:instrText xml:space="preserve"> PAGEREF _Toc70942469 \h </w:instrText>
          </w:r>
          <w:r>
            <w:fldChar w:fldCharType="separate"/>
          </w:r>
          <w:r>
            <w:t>29</w:t>
          </w:r>
          <w:r>
            <w:fldChar w:fldCharType="end"/>
          </w:r>
          <w:r>
            <w:fldChar w:fldCharType="end"/>
          </w:r>
        </w:p>
        <w:p>
          <w:pPr>
            <w:pStyle w:val="15"/>
            <w:tabs>
              <w:tab w:val="left" w:pos="440"/>
              <w:tab w:val="right" w:leader="dot" w:pos="9060"/>
            </w:tabs>
            <w:rPr>
              <w:rFonts w:eastAsiaTheme="minorEastAsia"/>
              <w:lang w:eastAsia="fr-FR"/>
            </w:rPr>
          </w:pPr>
          <w:r>
            <w:fldChar w:fldCharType="begin"/>
          </w:r>
          <w:r>
            <w:instrText xml:space="preserve"> HYPERLINK \l "_Toc70942476" </w:instrText>
          </w:r>
          <w:r>
            <w:fldChar w:fldCharType="separate"/>
          </w:r>
          <w:r>
            <w:rPr>
              <w:rStyle w:val="7"/>
              <w:rFonts w:ascii="Garamond" w:hAnsi="Garamond"/>
              <w:b/>
              <w:bCs/>
            </w:rPr>
            <w:t>5.</w:t>
          </w:r>
          <w:r>
            <w:rPr>
              <w:rFonts w:eastAsiaTheme="minorEastAsia"/>
              <w:lang w:eastAsia="fr-FR"/>
            </w:rPr>
            <w:tab/>
          </w:r>
          <w:r>
            <w:rPr>
              <w:rStyle w:val="7"/>
              <w:rFonts w:ascii="Garamond" w:hAnsi="Garamond"/>
              <w:b/>
              <w:bCs/>
            </w:rPr>
            <w:t>Critères d’expertise</w:t>
          </w:r>
          <w:r>
            <w:tab/>
          </w:r>
          <w:r>
            <w:fldChar w:fldCharType="begin"/>
          </w:r>
          <w:r>
            <w:instrText xml:space="preserve"> PAGEREF _Toc70942476 \h </w:instrText>
          </w:r>
          <w:r>
            <w:fldChar w:fldCharType="separate"/>
          </w:r>
          <w:r>
            <w:t>34</w:t>
          </w:r>
          <w:r>
            <w:fldChar w:fldCharType="end"/>
          </w:r>
          <w:r>
            <w:fldChar w:fldCharType="end"/>
          </w:r>
        </w:p>
        <w:p>
          <w:pPr>
            <w:pStyle w:val="15"/>
            <w:tabs>
              <w:tab w:val="left" w:pos="440"/>
              <w:tab w:val="right" w:leader="dot" w:pos="9060"/>
            </w:tabs>
          </w:pPr>
          <w:r>
            <w:fldChar w:fldCharType="begin"/>
          </w:r>
          <w:r>
            <w:instrText xml:space="preserve"> HYPERLINK \l "_Toc70942477" </w:instrText>
          </w:r>
          <w:r>
            <w:fldChar w:fldCharType="separate"/>
          </w:r>
          <w:r>
            <w:rPr>
              <w:rStyle w:val="7"/>
              <w:rFonts w:ascii="Garamond" w:hAnsi="Garamond"/>
              <w:b/>
              <w:bCs/>
            </w:rPr>
            <w:t>6.</w:t>
          </w:r>
          <w:r>
            <w:rPr>
              <w:rFonts w:eastAsiaTheme="minorEastAsia"/>
              <w:lang w:eastAsia="fr-FR"/>
            </w:rPr>
            <w:tab/>
          </w:r>
          <w:r>
            <w:rPr>
              <w:rStyle w:val="7"/>
              <w:rFonts w:ascii="Garamond" w:hAnsi="Garamond"/>
              <w:b/>
              <w:bCs/>
            </w:rPr>
            <w:t>Contact et informations :</w:t>
          </w:r>
          <w:r>
            <w:tab/>
          </w:r>
          <w:r>
            <w:fldChar w:fldCharType="begin"/>
          </w:r>
          <w:r>
            <w:instrText xml:space="preserve"> PAGEREF _Toc70942477 \h </w:instrText>
          </w:r>
          <w:r>
            <w:fldChar w:fldCharType="separate"/>
          </w:r>
          <w:r>
            <w:t>34</w:t>
          </w:r>
          <w:r>
            <w:fldChar w:fldCharType="end"/>
          </w:r>
          <w:r>
            <w:fldChar w:fldCharType="end"/>
          </w:r>
          <w:r>
            <w:rPr>
              <w:b/>
              <w:bCs/>
            </w:rPr>
            <w:fldChar w:fldCharType="end"/>
          </w:r>
        </w:p>
      </w:sdtContent>
    </w:sdt>
    <w:p>
      <w:pPr>
        <w:rPr>
          <w:rFonts w:ascii="Garamond" w:hAnsi="Garamond"/>
          <w:b/>
          <w:color w:val="FFFFFF" w:themeColor="background1"/>
          <w:sz w:val="40"/>
          <w:szCs w:val="24"/>
          <w14:textFill>
            <w14:solidFill>
              <w14:schemeClr w14:val="bg1"/>
            </w14:solidFill>
          </w14:textFill>
        </w:rPr>
      </w:pPr>
    </w:p>
    <w:p>
      <w:pPr>
        <w:rPr>
          <w:rFonts w:ascii="Garamond" w:hAnsi="Garamond"/>
          <w:b/>
          <w:color w:val="FFFFFF" w:themeColor="background1"/>
          <w:sz w:val="40"/>
          <w:szCs w:val="24"/>
          <w14:textFill>
            <w14:solidFill>
              <w14:schemeClr w14:val="bg1"/>
            </w14:solidFill>
          </w14:textFill>
        </w:rPr>
      </w:pPr>
    </w:p>
    <w:p>
      <w:pPr>
        <w:rPr>
          <w:rFonts w:ascii="Garamond" w:hAnsi="Garamond"/>
          <w:b/>
          <w:color w:val="FFFFFF" w:themeColor="background1"/>
          <w:sz w:val="40"/>
          <w:szCs w:val="24"/>
          <w14:textFill>
            <w14:solidFill>
              <w14:schemeClr w14:val="bg1"/>
            </w14:solidFill>
          </w14:textFill>
        </w:rPr>
      </w:pPr>
    </w:p>
    <w:p>
      <w:pPr>
        <w:rPr>
          <w:rFonts w:ascii="Garamond" w:hAnsi="Garamond"/>
          <w:b/>
          <w:color w:val="FFFFFF" w:themeColor="background1"/>
          <w:sz w:val="40"/>
          <w:szCs w:val="24"/>
          <w14:textFill>
            <w14:solidFill>
              <w14:schemeClr w14:val="bg1"/>
            </w14:solidFill>
          </w14:textFill>
        </w:rPr>
      </w:pPr>
    </w:p>
    <w:p>
      <w:pPr>
        <w:pStyle w:val="2"/>
        <w:shd w:val="clear" w:color="auto" w:fill="008037"/>
        <w:rPr>
          <w:rFonts w:ascii="Garamond" w:hAnsi="Garamond"/>
          <w:b/>
          <w:bCs/>
          <w:color w:val="auto"/>
          <w:sz w:val="40"/>
          <w:szCs w:val="40"/>
        </w:rPr>
      </w:pPr>
      <w:bookmarkStart w:id="0" w:name="_Toc70942449"/>
      <w:r>
        <w:rPr>
          <w:rFonts w:ascii="Garamond" w:hAnsi="Garamond"/>
          <w:b/>
          <w:bCs/>
          <w:color w:val="FFFFFF" w:themeColor="background1"/>
          <w:sz w:val="40"/>
          <w:szCs w:val="40"/>
          <w14:textFill>
            <w14:solidFill>
              <w14:schemeClr w14:val="bg1"/>
            </w14:solidFill>
          </w14:textFill>
        </w:rPr>
        <w:t>Introduction</w:t>
      </w:r>
      <w:bookmarkEnd w:id="0"/>
      <w:r>
        <w:rPr>
          <w:rFonts w:ascii="Garamond" w:hAnsi="Garamond"/>
          <w:b/>
          <w:bCs/>
          <w:color w:val="FFFFFF" w:themeColor="background1"/>
          <w:sz w:val="40"/>
          <w:szCs w:val="40"/>
          <w14:textFill>
            <w14:solidFill>
              <w14:schemeClr w14:val="bg1"/>
            </w14:solidFill>
          </w14:textFill>
        </w:rPr>
        <w:t xml:space="preserve"> </w:t>
      </w:r>
    </w:p>
    <w:p>
      <w:pPr>
        <w:jc w:val="both"/>
        <w:rPr>
          <w:rFonts w:ascii="Garamond" w:hAnsi="Garamond"/>
          <w:sz w:val="28"/>
          <w:szCs w:val="28"/>
        </w:rPr>
      </w:pPr>
      <w:r>
        <w:rPr>
          <w:rFonts w:ascii="Garamond" w:hAnsi="Garamond"/>
          <w:sz w:val="28"/>
          <w:szCs w:val="28"/>
        </w:rPr>
        <w:t xml:space="preserve">En application des dispositions de l’article 13 de la loi n°15-21 du 18 Rabie el-aouel 1437 correspondant au 30 décembre 2015, modifiée, portant loi d’orientation sur la recherche scientifique et le développement technologique, le décret  n° 21-89 du 17 Rajab 1442 correspondant au 1er mars 2021 a pour objet d’établir le plan de développement pluriannuel pour la mise en œuvre des trois (03) programmes nationaux de recherche scientifique et de développement technologique prioritaires qui sont fixés comme suit : </w:t>
      </w:r>
    </w:p>
    <w:p>
      <w:pPr>
        <w:pStyle w:val="18"/>
        <w:numPr>
          <w:ilvl w:val="0"/>
          <w:numId w:val="1"/>
        </w:numPr>
        <w:spacing w:after="0"/>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sécurité alimentaire</w:t>
      </w:r>
      <w:r>
        <w:rPr>
          <w:rFonts w:ascii="Garamond" w:hAnsi="Garamond"/>
          <w:sz w:val="28"/>
          <w:szCs w:val="28"/>
        </w:rPr>
        <w:t xml:space="preserve"> ;</w:t>
      </w:r>
    </w:p>
    <w:p>
      <w:pPr>
        <w:pStyle w:val="18"/>
        <w:numPr>
          <w:ilvl w:val="0"/>
          <w:numId w:val="1"/>
        </w:numPr>
        <w:spacing w:after="0"/>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santé du citoyen</w:t>
      </w:r>
      <w:r>
        <w:rPr>
          <w:rFonts w:ascii="Garamond" w:hAnsi="Garamond"/>
          <w:sz w:val="28"/>
          <w:szCs w:val="28"/>
        </w:rPr>
        <w:t xml:space="preserve"> ;</w:t>
      </w:r>
    </w:p>
    <w:p>
      <w:pPr>
        <w:pStyle w:val="18"/>
        <w:numPr>
          <w:ilvl w:val="0"/>
          <w:numId w:val="1"/>
        </w:numPr>
        <w:spacing w:after="0"/>
        <w:jc w:val="both"/>
        <w:rPr>
          <w:rFonts w:ascii="Garamond" w:hAnsi="Garamond"/>
          <w:sz w:val="28"/>
          <w:szCs w:val="28"/>
        </w:rPr>
      </w:pPr>
      <w:r>
        <w:rPr>
          <w:rFonts w:ascii="Garamond" w:hAnsi="Garamond"/>
          <w:sz w:val="28"/>
          <w:szCs w:val="28"/>
        </w:rPr>
        <w:t xml:space="preserve">Le programme national de recherche sur </w:t>
      </w:r>
      <w:r>
        <w:rPr>
          <w:rFonts w:ascii="Garamond" w:hAnsi="Garamond"/>
          <w:b/>
          <w:sz w:val="28"/>
          <w:szCs w:val="28"/>
        </w:rPr>
        <w:t>la sécurité énergétique</w:t>
      </w:r>
      <w:r>
        <w:rPr>
          <w:rFonts w:ascii="Garamond" w:hAnsi="Garamond"/>
          <w:sz w:val="28"/>
          <w:szCs w:val="28"/>
        </w:rPr>
        <w:t>.</w:t>
      </w:r>
    </w:p>
    <w:p>
      <w:pPr>
        <w:spacing w:after="0"/>
        <w:jc w:val="both"/>
        <w:rPr>
          <w:rFonts w:ascii="Garamond" w:hAnsi="Garamond"/>
          <w:sz w:val="28"/>
          <w:szCs w:val="28"/>
        </w:rPr>
      </w:pPr>
    </w:p>
    <w:p>
      <w:pPr>
        <w:spacing w:after="0"/>
        <w:jc w:val="both"/>
        <w:rPr>
          <w:rFonts w:ascii="Garamond" w:hAnsi="Garamond"/>
          <w:sz w:val="28"/>
          <w:szCs w:val="28"/>
        </w:rPr>
      </w:pPr>
      <w:r>
        <w:rPr>
          <w:rFonts w:ascii="Garamond" w:hAnsi="Garamond"/>
          <w:sz w:val="28"/>
          <w:szCs w:val="28"/>
        </w:rPr>
        <w:t>Le document ci-après est consacré au programme national de recherche sur la sécurité énergétique. Les objectifs, le contenu ainsi que l’impact attendu y sont présentés.</w:t>
      </w:r>
    </w:p>
    <w:p>
      <w:pPr>
        <w:pStyle w:val="2"/>
        <w:numPr>
          <w:ilvl w:val="0"/>
          <w:numId w:val="2"/>
        </w:numPr>
        <w:rPr>
          <w:rFonts w:ascii="Garamond" w:hAnsi="Garamond"/>
          <w:b/>
          <w:bCs/>
          <w:color w:val="008037"/>
          <w:sz w:val="36"/>
          <w:szCs w:val="36"/>
        </w:rPr>
      </w:pPr>
      <w:bookmarkStart w:id="1" w:name="_Toc68519455"/>
      <w:bookmarkStart w:id="2" w:name="_Toc70942450"/>
      <w:r>
        <w:rPr>
          <w:rFonts w:ascii="Garamond" w:hAnsi="Garamond"/>
          <w:b/>
          <w:bCs/>
          <w:color w:val="008037"/>
          <w:sz w:val="36"/>
          <w:szCs w:val="36"/>
        </w:rPr>
        <w:t>Objectifs du programme national de recherche sur la sécurité énergétique :</w:t>
      </w:r>
      <w:bookmarkEnd w:id="1"/>
      <w:bookmarkEnd w:id="2"/>
      <w:r>
        <w:rPr>
          <w:rFonts w:ascii="Garamond" w:hAnsi="Garamond"/>
          <w:b/>
          <w:bCs/>
          <w:color w:val="008037"/>
          <w:sz w:val="36"/>
          <w:szCs w:val="36"/>
        </w:rPr>
        <w:t xml:space="preserve"> </w:t>
      </w:r>
    </w:p>
    <w:p>
      <w:pPr>
        <w:spacing w:after="0"/>
        <w:jc w:val="both"/>
        <w:rPr>
          <w:rFonts w:ascii="Garamond" w:hAnsi="Garamond"/>
          <w:sz w:val="24"/>
          <w:szCs w:val="24"/>
        </w:rPr>
      </w:pPr>
    </w:p>
    <w:p>
      <w:pPr>
        <w:jc w:val="both"/>
        <w:rPr>
          <w:rFonts w:ascii="Garamond" w:hAnsi="Garamond"/>
          <w:sz w:val="28"/>
          <w:szCs w:val="28"/>
        </w:rPr>
      </w:pPr>
      <w:r>
        <w:rPr>
          <w:rFonts w:ascii="Garamond" w:hAnsi="Garamond"/>
          <w:sz w:val="28"/>
          <w:szCs w:val="28"/>
        </w:rPr>
        <w:t xml:space="preserve">Concernant le programme de recherche </w:t>
      </w:r>
      <w:r>
        <w:rPr>
          <w:rFonts w:ascii="Garamond" w:hAnsi="Garamond"/>
          <w:b/>
          <w:color w:val="008037"/>
          <w:sz w:val="28"/>
          <w:szCs w:val="28"/>
        </w:rPr>
        <w:t>« Sécurité énergétique »</w:t>
      </w:r>
      <w:r>
        <w:rPr>
          <w:rFonts w:ascii="Garamond" w:hAnsi="Garamond"/>
          <w:sz w:val="28"/>
          <w:szCs w:val="28"/>
        </w:rPr>
        <w:t xml:space="preserve">, il s’agit de développer et de promouvoir les énergies renouvelables dans le cadre de la sécurité énergétique du pays qui constitue l’un des principaux objectifs de la stratégie nationale du gouvernement qui vise à porter la part des énergies renouvelables à environ 27% de la production nationale d’électricité à l’horizon 2030. Pour atteindre cet objectif, le gouvernement a adopté, en 2011, un ambitieux programme de développement des énergies renouvelables et de l’efficacité énergétique. </w:t>
      </w:r>
    </w:p>
    <w:p>
      <w:pPr>
        <w:jc w:val="both"/>
        <w:rPr>
          <w:rFonts w:ascii="Garamond" w:hAnsi="Garamond"/>
          <w:sz w:val="28"/>
          <w:szCs w:val="28"/>
        </w:rPr>
      </w:pPr>
      <w:r>
        <w:rPr>
          <w:rFonts w:ascii="Garamond" w:hAnsi="Garamond"/>
          <w:sz w:val="28"/>
          <w:szCs w:val="28"/>
        </w:rPr>
        <w:t xml:space="preserve">Ce programme, révisé en 2015, s’articule notamment autour : a) d’un cadre législatif et réglementaire incitatif pour la production et la commercialisation des énergies renouvelables, b) d’une intégration des capacités nationales qui sont déjà appréciables, c) de la mise en place d’une véritable activité économique orientée vers les énergies   renouvelables. </w:t>
      </w:r>
    </w:p>
    <w:p>
      <w:pPr>
        <w:jc w:val="both"/>
        <w:rPr>
          <w:rFonts w:ascii="Garamond" w:hAnsi="Garamond"/>
          <w:sz w:val="28"/>
          <w:szCs w:val="28"/>
        </w:rPr>
      </w:pPr>
      <w:r>
        <w:rPr>
          <w:rFonts w:ascii="Garamond" w:hAnsi="Garamond"/>
          <w:sz w:val="28"/>
          <w:szCs w:val="28"/>
        </w:rPr>
        <w:t xml:space="preserve">Au mois de mars 2020, le programme de développement des énergies renouvelables d’une capacité de 16 000 MW à l’horizon 2035 a été adopté par le gouvernement, dont 15 000 MW raccordés au réseau électrique national et 1 000 MW en hors réseau (autoconsommation). </w:t>
      </w:r>
    </w:p>
    <w:p>
      <w:pPr>
        <w:jc w:val="both"/>
        <w:rPr>
          <w:rFonts w:ascii="Garamond" w:hAnsi="Garamond"/>
          <w:sz w:val="28"/>
          <w:szCs w:val="28"/>
        </w:rPr>
      </w:pPr>
      <w:r>
        <w:rPr>
          <w:rFonts w:ascii="Garamond" w:hAnsi="Garamond"/>
          <w:sz w:val="28"/>
          <w:szCs w:val="28"/>
        </w:rPr>
        <w:t>En matière d’hydrocarbures, la production, la conservation, la distribution, l’utilisation rationnelle et la diversification des sources d’énergie, l’exploration du sol, du sous-sol, des mers, de l’atmosphère et l’évaluation de leurs ressources constituent les principaux objectifs à poursuivre pour le développement des hydrocarbures conventionnels et non conventionnels. Cela s’inscrit dans la vision du Gouvernement algérien qui s’appuie sur une stratégie axée sur le développement des hydrocarbures conventionnels et non conventionnels. Cette stratégie vise à intensifier l’effort d’exploration en vue de découvrir de nouveaux gisements pétroliers et gaziers. Elle vise également à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 xml:space="preserve">augmenter la production pétrolière par la récupération assistée des hydrocarbures ;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 xml:space="preserve">valoriser les hydrocarbures par le biais de procédés de traitement (raffinage) et de transformation (pétrochimie) ;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 xml:space="preserve">analyser les impacts environnementaux associés au développement de l’industrie des hydrocarbures ;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 xml:space="preserve">traiter et valoriser les déchets ;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étudier les problèmes liés à l’exploitation et au transport des hydrocarbures ;</w:t>
      </w:r>
    </w:p>
    <w:p>
      <w:pPr>
        <w:spacing w:after="0"/>
        <w:jc w:val="both"/>
        <w:rPr>
          <w:rFonts w:ascii="Garamond" w:hAnsi="Garamond"/>
          <w:sz w:val="28"/>
          <w:szCs w:val="28"/>
        </w:rPr>
      </w:pPr>
      <w:r>
        <w:rPr>
          <w:rFonts w:ascii="Garamond" w:hAnsi="Garamond"/>
          <w:sz w:val="28"/>
          <w:szCs w:val="28"/>
        </w:rPr>
        <w:t>-</w:t>
      </w:r>
      <w:r>
        <w:rPr>
          <w:rFonts w:ascii="Garamond" w:hAnsi="Garamond"/>
          <w:sz w:val="28"/>
          <w:szCs w:val="28"/>
        </w:rPr>
        <w:tab/>
      </w:r>
      <w:r>
        <w:rPr>
          <w:rFonts w:ascii="Garamond" w:hAnsi="Garamond"/>
          <w:sz w:val="28"/>
          <w:szCs w:val="28"/>
        </w:rPr>
        <w:t xml:space="preserve">développer des matériaux innovants dans le forage. </w:t>
      </w:r>
    </w:p>
    <w:p>
      <w:pPr>
        <w:spacing w:after="0"/>
        <w:jc w:val="both"/>
        <w:rPr>
          <w:rFonts w:ascii="Garamond" w:hAnsi="Garamond"/>
          <w:sz w:val="32"/>
          <w:szCs w:val="32"/>
        </w:rPr>
      </w:pPr>
    </w:p>
    <w:p>
      <w:pPr>
        <w:pStyle w:val="2"/>
        <w:numPr>
          <w:ilvl w:val="0"/>
          <w:numId w:val="2"/>
        </w:numPr>
        <w:rPr>
          <w:rFonts w:ascii="Garamond" w:hAnsi="Garamond"/>
          <w:b/>
          <w:bCs/>
          <w:color w:val="008037"/>
          <w:sz w:val="36"/>
          <w:szCs w:val="36"/>
        </w:rPr>
      </w:pPr>
      <w:bookmarkStart w:id="3" w:name="_Toc70942451"/>
      <w:r>
        <w:rPr>
          <w:rFonts w:ascii="Garamond" w:hAnsi="Garamond"/>
          <w:b/>
          <w:bCs/>
          <w:color w:val="008037"/>
          <w:sz w:val="36"/>
          <w:szCs w:val="36"/>
        </w:rPr>
        <w:t>Contenu du Programme de recherche :</w:t>
      </w:r>
      <w:bookmarkEnd w:id="3"/>
    </w:p>
    <w:p>
      <w:pPr>
        <w:pStyle w:val="11"/>
        <w:spacing w:after="0" w:line="276" w:lineRule="auto"/>
        <w:ind w:left="0"/>
        <w:jc w:val="both"/>
        <w:rPr>
          <w:rFonts w:ascii="Garamond" w:hAnsi="Garamond" w:eastAsia="Arial Unicode MS"/>
          <w:sz w:val="28"/>
          <w:szCs w:val="28"/>
          <w:lang w:eastAsia="en-US"/>
        </w:rPr>
      </w:pPr>
      <w:r>
        <w:rPr>
          <w:rFonts w:ascii="Garamond" w:hAnsi="Garamond" w:eastAsia="Arial Unicode MS"/>
          <w:sz w:val="28"/>
          <w:szCs w:val="28"/>
          <w:lang w:eastAsia="en-US"/>
        </w:rPr>
        <w:t>Le programme national de recherche sur le volet ‘énergies renouvelables et efficacité énergétique’ vise l’évaluation et l’exploitation des ressources énergétiques renouvelables ainsi que la maîtrise et le développement technologique des systèmes de conversion d’énergie. Quant au volet ‘hydrocarbures’, les axes de recherche porteront sur l'évaluation du potentiel du domaine minier national des hydrocarbures, le développement et l'application de nouvelles technologies d'exploration, de développement, de production et de commercialisation des hydrocarbures et de leurs dérivés.</w:t>
      </w:r>
    </w:p>
    <w:p>
      <w:pPr>
        <w:pStyle w:val="11"/>
        <w:spacing w:after="0" w:line="276" w:lineRule="auto"/>
        <w:ind w:left="0"/>
        <w:jc w:val="both"/>
        <w:rPr>
          <w:rFonts w:ascii="Garamond" w:hAnsi="Garamond" w:eastAsia="Arial Unicode MS"/>
          <w:sz w:val="28"/>
          <w:szCs w:val="28"/>
          <w:lang w:eastAsia="en-US"/>
        </w:rPr>
      </w:pPr>
      <w:r>
        <w:rPr>
          <w:rFonts w:ascii="Garamond" w:hAnsi="Garamond" w:eastAsia="Arial Unicode MS"/>
          <w:sz w:val="28"/>
          <w:szCs w:val="28"/>
          <w:lang w:eastAsia="en-US"/>
        </w:rPr>
        <w:t xml:space="preserve">Le contenu de ce programme répond aux principales préoccupations exprimées par les acteurs socio-économiques lors des travaux en ateliers pilotés par la Commission Intersectorielle « Matières premières et énergie » auxquels ont pris part les représentants des départements ministériels, en leur qualité de membres de la commission ainsi que les acteurs dans l’énergie,  l’industrie, l’agriculture, la défense nationale, l’économie, le commerce, l’enseignement supérieur, l’environnement, l’habitat, l’aménagement du territoire, le développement durable, etc. </w:t>
      </w:r>
    </w:p>
    <w:p>
      <w:pPr>
        <w:pStyle w:val="11"/>
        <w:spacing w:after="0" w:line="276" w:lineRule="auto"/>
        <w:ind w:left="0"/>
        <w:jc w:val="both"/>
        <w:rPr>
          <w:rFonts w:ascii="Garamond" w:hAnsi="Garamond" w:eastAsia="Arial Unicode MS"/>
          <w:sz w:val="28"/>
          <w:szCs w:val="28"/>
          <w:lang w:eastAsia="en-US"/>
        </w:rPr>
      </w:pPr>
    </w:p>
    <w:p>
      <w:pPr>
        <w:pStyle w:val="11"/>
        <w:spacing w:after="0" w:line="276" w:lineRule="auto"/>
        <w:ind w:left="0"/>
        <w:jc w:val="both"/>
        <w:rPr>
          <w:rFonts w:ascii="Garamond" w:hAnsi="Garamond"/>
          <w:sz w:val="28"/>
          <w:szCs w:val="28"/>
        </w:rPr>
      </w:pPr>
      <w:r>
        <w:rPr>
          <w:rFonts w:ascii="Garamond" w:hAnsi="Garamond" w:eastAsia="Arial Unicode MS"/>
          <w:sz w:val="28"/>
          <w:szCs w:val="28"/>
          <w:lang w:eastAsia="en-US"/>
        </w:rPr>
        <w:t xml:space="preserve">Les contenus de ce programme englobent des domaines classés par ordre de priorité et répartis en axes de recherche.  </w:t>
      </w:r>
      <w:r>
        <w:rPr>
          <w:rFonts w:ascii="Garamond" w:hAnsi="Garamond"/>
          <w:sz w:val="28"/>
          <w:szCs w:val="28"/>
        </w:rPr>
        <w:t xml:space="preserve">Quant aux thèmes de recherche, ils représentent les différentes problématiques de recherche exprimant les différents besoins du pays dans les domaines des énergies renouvelables, de l’efficacité énergétique et des hydrocarbures. Ces thèmes sont dûment formulés et articulés selon une dimension intersectorielle et multidisciplinaire. C’est sur cette base que les chercheurs et les acteurs socio-économiques concevront leurs projets de recherche. Au vu du grand nombre de thèmes de recherche, il n’a pas été possible de les insérer dans le présent plan. Ceux-ci seront présentés par le biais des appels à propositions de projets qui s’articulent autour des domaines et des axes déjà inscrits et anticiper également de nouvelles problématiques de recherche qui pourraient être soulevées. </w:t>
      </w:r>
    </w:p>
    <w:p>
      <w:pPr>
        <w:pStyle w:val="11"/>
        <w:spacing w:before="240" w:after="0" w:line="276" w:lineRule="auto"/>
        <w:ind w:left="0"/>
        <w:jc w:val="both"/>
        <w:rPr>
          <w:rFonts w:ascii="Garamond" w:hAnsi="Garamond" w:eastAsia="Arial Unicode MS"/>
          <w:sz w:val="28"/>
          <w:szCs w:val="28"/>
          <w:lang w:eastAsia="en-US"/>
        </w:rPr>
      </w:pPr>
      <w:r>
        <w:rPr>
          <w:rFonts w:ascii="Garamond" w:hAnsi="Garamond"/>
          <w:sz w:val="28"/>
          <w:szCs w:val="28"/>
        </w:rPr>
        <w:t>Les domaines et les axes de recherche ont été répartis sur deux volets</w:t>
      </w:r>
      <w:r>
        <w:rPr>
          <w:rFonts w:ascii="Garamond" w:hAnsi="Garamond" w:eastAsia="Arial Unicode MS"/>
          <w:sz w:val="28"/>
          <w:szCs w:val="28"/>
          <w:lang w:eastAsia="en-US"/>
        </w:rPr>
        <w:t> : un volet sur les énergies renouvelables et l’efficacité énergétique et un autre volet sur les hydrocarbures.</w:t>
      </w:r>
    </w:p>
    <w:p>
      <w:pPr>
        <w:pStyle w:val="11"/>
        <w:spacing w:after="0" w:line="276" w:lineRule="auto"/>
        <w:ind w:left="0"/>
        <w:jc w:val="both"/>
        <w:rPr>
          <w:rFonts w:ascii="Garamond" w:hAnsi="Garamond" w:eastAsia="Arial Unicode MS"/>
          <w:sz w:val="28"/>
          <w:szCs w:val="28"/>
          <w:lang w:eastAsia="en-US"/>
        </w:rPr>
      </w:pPr>
    </w:p>
    <w:p>
      <w:pPr>
        <w:rPr>
          <w:rFonts w:ascii="Garamond" w:hAnsi="Garamond" w:eastAsia="Times New Roman" w:cs="Times New Roman"/>
          <w:b/>
          <w:sz w:val="28"/>
          <w:szCs w:val="28"/>
          <w:lang w:eastAsia="fr-FR"/>
        </w:rPr>
      </w:pPr>
      <w:r>
        <w:rPr>
          <w:rFonts w:ascii="Garamond" w:hAnsi="Garamond"/>
          <w:b/>
          <w:sz w:val="28"/>
          <w:szCs w:val="28"/>
        </w:rPr>
        <w:br w:type="page"/>
      </w: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953735" w:themeColor="accent2" w:themeShade="BF"/>
          <w:sz w:val="56"/>
          <w:szCs w:val="56"/>
        </w:rPr>
      </w:pPr>
    </w:p>
    <w:p>
      <w:pPr>
        <w:pStyle w:val="11"/>
        <w:spacing w:after="0" w:line="276" w:lineRule="auto"/>
        <w:ind w:left="0"/>
        <w:jc w:val="center"/>
        <w:rPr>
          <w:rFonts w:ascii="Garamond" w:hAnsi="Garamond"/>
          <w:b/>
          <w:color w:val="008037"/>
          <w:sz w:val="72"/>
          <w:szCs w:val="72"/>
        </w:rPr>
      </w:pPr>
      <w:r>
        <w:rPr>
          <w:rFonts w:ascii="Garamond" w:hAnsi="Garamond"/>
          <w:b/>
          <w:color w:val="008037"/>
          <w:sz w:val="72"/>
          <w:szCs w:val="72"/>
        </w:rPr>
        <w:t>Volet « Energies Renouvelables et efficacité énergétique»</w:t>
      </w:r>
    </w:p>
    <w:p>
      <w:pPr>
        <w:pStyle w:val="11"/>
        <w:spacing w:after="0" w:line="276" w:lineRule="auto"/>
        <w:ind w:left="0"/>
        <w:jc w:val="center"/>
        <w:rPr>
          <w:rFonts w:ascii="Garamond" w:hAnsi="Garamond" w:eastAsia="Arial Unicode MS"/>
          <w:sz w:val="28"/>
          <w:szCs w:val="28"/>
          <w:lang w:eastAsia="en-US"/>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72"/>
          <w:szCs w:val="72"/>
          <w14:textFill>
            <w14:solidFill>
              <w14:schemeClr w14:val="bg1"/>
            </w14:solidFill>
          </w14:textFill>
        </w:rPr>
      </w:pPr>
      <w:bookmarkStart w:id="4" w:name="_Toc70942452"/>
      <w:r>
        <w:rPr>
          <w:rFonts w:ascii="Garamond" w:hAnsi="Garamond" w:eastAsia="Calibri"/>
          <w:color w:val="FFFFFF" w:themeColor="background1"/>
          <w:sz w:val="36"/>
          <w:szCs w:val="36"/>
          <w14:textFill>
            <w14:solidFill>
              <w14:schemeClr w14:val="bg1"/>
            </w14:solidFill>
          </w14:textFill>
        </w:rPr>
        <w:t>DOMAINE 1 : INTEGRATION AU RESEAU</w:t>
      </w:r>
      <w:bookmarkEnd w:id="4"/>
    </w:p>
    <w:p>
      <w:pPr>
        <w:tabs>
          <w:tab w:val="left" w:pos="567"/>
        </w:tabs>
        <w:spacing w:after="0"/>
        <w:ind w:left="360"/>
        <w:jc w:val="both"/>
        <w:rPr>
          <w:rFonts w:ascii="Garamond" w:hAnsi="Garamond" w:eastAsia="Calibri" w:cs="Arial"/>
          <w:b/>
          <w:bCs/>
          <w:sz w:val="28"/>
          <w:szCs w:val="28"/>
        </w:rPr>
      </w:pPr>
    </w:p>
    <w:p>
      <w:pPr>
        <w:tabs>
          <w:tab w:val="left" w:pos="567"/>
        </w:tabs>
        <w:spacing w:after="0"/>
        <w:jc w:val="both"/>
        <w:rPr>
          <w:rFonts w:ascii="Garamond" w:hAnsi="Garamond" w:eastAsia="Calibri" w:cs="Arial"/>
          <w:sz w:val="28"/>
          <w:szCs w:val="28"/>
        </w:rPr>
      </w:pPr>
      <w:r>
        <w:rPr>
          <w:rFonts w:ascii="Garamond" w:hAnsi="Garamond" w:eastAsia="Calibri" w:cs="Arial"/>
          <w:sz w:val="28"/>
          <w:szCs w:val="28"/>
        </w:rPr>
        <w:t>L'intégration à grande échelle des centrales d‘exploitation des énergies renouvelables (ou centrales EnR), posent de nouvelles contraintes aux réseaux de distribution d’énergie électrique contrairement aux centrales conventionnelles dont le comportement est bien maitrisé. Ces contraintes sont principalement liées au caractère intermittent, aléatoire et imprévisible des sources énergétiques renouvelables. Les thèmes de recherche à développer porteront donc sur des études d’impact et d’analyse des centrales EnR sur le réseau, le développement d’outils de gestion et de planification de leur production ainsi que sur les exigences liées au raccordement des centrales EnR au réseau.</w:t>
      </w:r>
    </w:p>
    <w:p>
      <w:pPr>
        <w:tabs>
          <w:tab w:val="left" w:pos="567"/>
        </w:tabs>
        <w:spacing w:after="0"/>
        <w:ind w:left="360"/>
        <w:jc w:val="both"/>
        <w:rPr>
          <w:rFonts w:ascii="Garamond" w:hAnsi="Garamond" w:eastAsia="Calibri" w:cs="Arial"/>
          <w:sz w:val="28"/>
          <w:szCs w:val="28"/>
        </w:rPr>
      </w:pPr>
    </w:p>
    <w:p>
      <w:pPr>
        <w:tabs>
          <w:tab w:val="left" w:pos="567"/>
        </w:tabs>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Impact et analyse</w:t>
      </w: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sz w:val="28"/>
          <w:szCs w:val="28"/>
        </w:rPr>
      </w:pPr>
      <w:r>
        <w:rPr>
          <w:rFonts w:ascii="Garamond" w:hAnsi="Garamond" w:eastAsia="Calibri" w:cs="Arial"/>
          <w:sz w:val="28"/>
          <w:szCs w:val="28"/>
        </w:rPr>
        <w:t xml:space="preserve">Modélisation et dimensionnement des installations EnR, </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Etude de raccordement et d’impact des centrales EnR (impact sur le réseau isolé ou interconnecté),</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Gestion de la production du renouvelable connecté au réseau.</w:t>
      </w:r>
    </w:p>
    <w:p>
      <w:pPr>
        <w:tabs>
          <w:tab w:val="left" w:pos="567"/>
        </w:tabs>
        <w:spacing w:after="0"/>
        <w:ind w:left="284"/>
        <w:jc w:val="both"/>
        <w:rPr>
          <w:rFonts w:ascii="Garamond" w:hAnsi="Garamond" w:eastAsia="Calibri" w:cs="Arial"/>
          <w:sz w:val="28"/>
          <w:szCs w:val="28"/>
        </w:rPr>
      </w:pPr>
    </w:p>
    <w:p>
      <w:pPr>
        <w:tabs>
          <w:tab w:val="left" w:pos="567"/>
        </w:tabs>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Développement d’outils de calculs et d’analyse (Smart grids, …</w:t>
      </w:r>
    </w:p>
    <w:p>
      <w:pPr>
        <w:tabs>
          <w:tab w:val="left" w:pos="567"/>
        </w:tabs>
        <w:spacing w:after="0"/>
        <w:jc w:val="both"/>
        <w:rPr>
          <w:rFonts w:ascii="Garamond" w:hAnsi="Garamond" w:eastAsia="Calibri" w:cs="Arial"/>
          <w:sz w:val="28"/>
          <w:szCs w:val="28"/>
          <w:u w:val="single"/>
        </w:rPr>
      </w:pP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Outil de calcul et de modélisation des dimensionnements des centrales,</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Outils de calcul de l’intégration des centrales au réseau,</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Outils de prévision de production des centrales EnR en temps réel,</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Outils de gestion des centrales EnR dans le dispatching,</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 xml:space="preserve">Thème 5 : </w:t>
      </w:r>
      <w:r>
        <w:rPr>
          <w:rFonts w:ascii="Garamond" w:hAnsi="Garamond" w:eastAsia="Calibri" w:cs="Arial"/>
          <w:sz w:val="28"/>
          <w:szCs w:val="28"/>
        </w:rPr>
        <w:t xml:space="preserve">Outils de planification de la production EnR. </w:t>
      </w:r>
    </w:p>
    <w:p>
      <w:pPr>
        <w:tabs>
          <w:tab w:val="left" w:pos="567"/>
        </w:tabs>
        <w:spacing w:after="0"/>
        <w:ind w:left="284"/>
        <w:jc w:val="both"/>
        <w:rPr>
          <w:rFonts w:ascii="Garamond" w:hAnsi="Garamond" w:eastAsia="Calibri" w:cs="Arial"/>
          <w:sz w:val="28"/>
          <w:szCs w:val="28"/>
        </w:rPr>
      </w:pPr>
    </w:p>
    <w:p>
      <w:pPr>
        <w:tabs>
          <w:tab w:val="left" w:pos="567"/>
        </w:tabs>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Exigences de raccordement des centrales EnR au réseau de transport et de distribution</w:t>
      </w:r>
    </w:p>
    <w:p>
      <w:pPr>
        <w:tabs>
          <w:tab w:val="left" w:pos="567"/>
        </w:tabs>
        <w:spacing w:after="0"/>
        <w:jc w:val="both"/>
        <w:rPr>
          <w:rFonts w:ascii="Garamond" w:hAnsi="Garamond" w:eastAsia="Calibri" w:cs="Arial"/>
          <w:sz w:val="28"/>
          <w:szCs w:val="28"/>
          <w:u w:val="single"/>
        </w:rPr>
      </w:pPr>
    </w:p>
    <w:p>
      <w:pPr>
        <w:tabs>
          <w:tab w:val="left" w:pos="567"/>
        </w:tabs>
        <w:spacing w:after="0"/>
        <w:ind w:left="284"/>
        <w:jc w:val="both"/>
        <w:rPr>
          <w:rFonts w:ascii="Garamond" w:hAnsi="Garamond" w:eastAsia="Calibri" w:cs="Arial"/>
          <w:color w:val="000000" w:themeColor="text1"/>
          <w:sz w:val="28"/>
          <w:szCs w:val="28"/>
          <w14:textFill>
            <w14:solidFill>
              <w14:schemeClr w14:val="tx1"/>
            </w14:solidFill>
          </w14:textFill>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color w:val="000000" w:themeColor="text1"/>
          <w:sz w:val="28"/>
          <w:szCs w:val="28"/>
          <w14:textFill>
            <w14:solidFill>
              <w14:schemeClr w14:val="tx1"/>
            </w14:solidFill>
          </w14:textFill>
        </w:rPr>
        <w:t xml:space="preserve">Exigences applicables aux réseaux locaux </w:t>
      </w:r>
    </w:p>
    <w:p>
      <w:pPr>
        <w:tabs>
          <w:tab w:val="left" w:pos="567"/>
        </w:tabs>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color w:val="000000" w:themeColor="text1"/>
          <w:sz w:val="28"/>
          <w:szCs w:val="28"/>
          <w14:textFill>
            <w14:solidFill>
              <w14:schemeClr w14:val="tx1"/>
            </w14:solidFill>
          </w14:textFill>
        </w:rPr>
        <w:t>Exigences</w:t>
      </w:r>
      <w:r>
        <w:rPr>
          <w:rFonts w:ascii="Garamond" w:hAnsi="Garamond" w:eastAsia="Calibri" w:cs="Arial"/>
          <w:sz w:val="28"/>
          <w:szCs w:val="28"/>
        </w:rPr>
        <w:t xml:space="preserve"> applicables au réseau interconnecté</w:t>
      </w:r>
    </w:p>
    <w:p>
      <w:pPr>
        <w:tabs>
          <w:tab w:val="left" w:pos="567"/>
        </w:tabs>
        <w:spacing w:after="0"/>
        <w:ind w:left="284"/>
        <w:jc w:val="both"/>
        <w:rPr>
          <w:rFonts w:ascii="Garamond" w:hAnsi="Garamond" w:eastAsia="Calibri" w:cs="Arial"/>
          <w:sz w:val="28"/>
          <w:szCs w:val="28"/>
        </w:rPr>
      </w:pPr>
    </w:p>
    <w:p>
      <w:pPr>
        <w:tabs>
          <w:tab w:val="left" w:pos="567"/>
        </w:tabs>
        <w:spacing w:after="0"/>
        <w:ind w:left="284"/>
        <w:jc w:val="both"/>
        <w:rPr>
          <w:rFonts w:ascii="Garamond" w:hAnsi="Garamond" w:eastAsia="Calibri" w:cs="Arial"/>
          <w:sz w:val="28"/>
          <w:szCs w:val="28"/>
        </w:rPr>
      </w:pPr>
    </w:p>
    <w:p>
      <w:pPr>
        <w:tabs>
          <w:tab w:val="left" w:pos="567"/>
        </w:tabs>
        <w:spacing w:after="0"/>
        <w:ind w:left="284"/>
        <w:jc w:val="both"/>
        <w:rPr>
          <w:rFonts w:ascii="Garamond" w:hAnsi="Garamond" w:eastAsia="Calibri" w:cs="Arial"/>
          <w:sz w:val="28"/>
          <w:szCs w:val="28"/>
        </w:rPr>
      </w:pPr>
    </w:p>
    <w:p>
      <w:pPr>
        <w:tabs>
          <w:tab w:val="left" w:pos="567"/>
        </w:tabs>
        <w:spacing w:after="0"/>
        <w:jc w:val="both"/>
        <w:rPr>
          <w:rFonts w:ascii="Garamond" w:hAnsi="Garamond" w:eastAsia="Calibri" w:cs="Arial"/>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5" w:name="_Toc70942453"/>
      <w:r>
        <w:rPr>
          <w:rFonts w:ascii="Garamond" w:hAnsi="Garamond" w:eastAsia="Calibri"/>
          <w:color w:val="FFFFFF" w:themeColor="background1"/>
          <w:sz w:val="36"/>
          <w:szCs w:val="36"/>
          <w14:textFill>
            <w14:solidFill>
              <w14:schemeClr w14:val="bg1"/>
            </w14:solidFill>
          </w14:textFill>
        </w:rPr>
        <w:t>DOMAINE 2 : GISEMENT DES ENERGIES RENOUVELABLES</w:t>
      </w:r>
      <w:bookmarkEnd w:id="5"/>
    </w:p>
    <w:p>
      <w:pPr>
        <w:spacing w:after="0"/>
        <w:ind w:left="360"/>
        <w:jc w:val="both"/>
        <w:rPr>
          <w:rFonts w:ascii="Garamond" w:hAnsi="Garamond" w:eastAsia="Calibri" w:cs="Arial"/>
          <w:b/>
          <w:bCs/>
          <w:sz w:val="28"/>
          <w:szCs w:val="28"/>
        </w:rPr>
      </w:pPr>
    </w:p>
    <w:p>
      <w:pPr>
        <w:spacing w:after="0"/>
        <w:jc w:val="both"/>
        <w:rPr>
          <w:rFonts w:ascii="Garamond" w:hAnsi="Garamond" w:eastAsia="Calibri" w:cs="Arial"/>
          <w:color w:val="008037"/>
          <w:sz w:val="32"/>
          <w:szCs w:val="32"/>
        </w:rPr>
      </w:pPr>
      <w:r>
        <w:rPr>
          <w:rFonts w:ascii="Garamond" w:hAnsi="Garamond" w:eastAsia="Calibri" w:cs="Arial"/>
          <w:b/>
          <w:bCs/>
          <w:color w:val="008037"/>
          <w:sz w:val="32"/>
          <w:szCs w:val="32"/>
        </w:rPr>
        <w:t>Axe 1 : l’évaluation du gisement énergétique solaire, éolien, géothermique, du potentiel de la biomasse, des petites hydrauliques et autres sources renouvelables</w:t>
      </w:r>
      <w:r>
        <w:rPr>
          <w:rFonts w:ascii="Garamond" w:hAnsi="Garamond" w:eastAsia="Calibri" w:cs="Arial"/>
          <w:color w:val="008037"/>
          <w:sz w:val="32"/>
          <w:szCs w:val="32"/>
        </w:rPr>
        <w:t>.</w:t>
      </w:r>
    </w:p>
    <w:p>
      <w:pPr>
        <w:spacing w:after="0"/>
        <w:jc w:val="both"/>
        <w:rPr>
          <w:rFonts w:ascii="Garamond" w:hAnsi="Garamond" w:eastAsia="Calibri" w:cs="Arial"/>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Les activités de recherche se traduiront par la caractérisation des sites potentiellement favorables à l’implantation de systèmes de conversion d’énergie renouvelable et l’établissement de cartes énergétiques.</w:t>
      </w:r>
    </w:p>
    <w:p>
      <w:pPr>
        <w:spacing w:after="0"/>
        <w:jc w:val="both"/>
        <w:rPr>
          <w:rFonts w:ascii="Garamond" w:hAnsi="Garamond" w:eastAsia="Calibri" w:cs="Arial"/>
          <w:sz w:val="28"/>
          <w:szCs w:val="28"/>
        </w:rPr>
      </w:pPr>
      <w:r>
        <w:rPr>
          <w:rFonts w:ascii="Garamond" w:hAnsi="Garamond" w:eastAsia="Calibri" w:cs="Arial"/>
          <w:b/>
          <w:bCs/>
          <w:sz w:val="28"/>
          <w:szCs w:val="28"/>
          <w:u w:val="single"/>
        </w:rPr>
        <w:t xml:space="preserve"> Les thèmes </w:t>
      </w:r>
      <w:r>
        <w:rPr>
          <w:rFonts w:ascii="Garamond" w:hAnsi="Garamond" w:eastAsia="Calibri" w:cs="Arial"/>
          <w:sz w:val="28"/>
          <w:szCs w:val="28"/>
        </w:rPr>
        <w:t>de recherche concernent l’instrumentation de mesures, les méthodes de traitement des données, la modélisation et la prédiction des ressources, la qualification des sites et l’impact des changements climatiques sur les gisements énergétiques existants.</w:t>
      </w:r>
    </w:p>
    <w:p>
      <w:pPr>
        <w:spacing w:after="0"/>
        <w:ind w:left="360"/>
        <w:jc w:val="both"/>
        <w:rPr>
          <w:rFonts w:ascii="Garamond" w:hAnsi="Garamond" w:eastAsia="Calibri" w:cs="Arial"/>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Instrumentation et Mesures Radiométriques,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Evaluation des potentiels (solaire, éolien Onshore et Offshore, géothermie, biomasse, hydraulique, autres sources renouvelables),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Cartographie des gisements (solaire, éolien, géothermie, biomasse, hydraulique, autres sources) en utilisant les données au sol et imagerie satellitaire,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Modélisation et prédiction des ressources énergétiques renouvelables (solaire, éolien, géothermie, biomasse, autres sources),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 xml:space="preserve">Qualification de sites à fort potentiel et éligibles à l’implantation des centrales EnR,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Imagerie satellitaire,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7</w:t>
      </w:r>
      <w:r>
        <w:rPr>
          <w:rFonts w:ascii="Garamond" w:hAnsi="Garamond"/>
          <w:b/>
          <w:bCs/>
          <w:color w:val="008037"/>
          <w:sz w:val="28"/>
          <w:szCs w:val="28"/>
        </w:rPr>
        <w:t> </w:t>
      </w:r>
      <w:r>
        <w:rPr>
          <w:rFonts w:ascii="Garamond" w:hAnsi="Garamond"/>
          <w:b/>
          <w:bCs/>
          <w:color w:val="008037"/>
          <w:sz w:val="28"/>
          <w:szCs w:val="28"/>
          <w:u w:val="single"/>
        </w:rPr>
        <w:t>:</w:t>
      </w:r>
      <w:r>
        <w:rPr>
          <w:rFonts w:ascii="Garamond" w:hAnsi="Garamond"/>
          <w:b/>
          <w:bCs/>
          <w:sz w:val="28"/>
          <w:szCs w:val="28"/>
        </w:rPr>
        <w:t xml:space="preserve"> </w:t>
      </w:r>
      <w:r>
        <w:rPr>
          <w:rFonts w:ascii="Garamond" w:hAnsi="Garamond" w:eastAsia="Calibri" w:cs="Arial"/>
          <w:sz w:val="28"/>
          <w:szCs w:val="28"/>
        </w:rPr>
        <w:t>Impact de l’augmentation de la température sur le gisement solaire,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hAnsi="Garamond" w:eastAsia="Calibri" w:cs="Arial"/>
          <w:sz w:val="28"/>
          <w:szCs w:val="28"/>
        </w:rPr>
        <w:t>Choix et étude des comportements de diverses technologies dans des milieux différents.</w:t>
      </w:r>
    </w:p>
    <w:p>
      <w:pPr>
        <w:spacing w:after="0"/>
        <w:jc w:val="both"/>
        <w:rPr>
          <w:rFonts w:ascii="Garamond" w:hAnsi="Garamond" w:eastAsia="Arial Unicode MS" w:cs="Times New Roman"/>
          <w:sz w:val="28"/>
          <w:szCs w:val="28"/>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6" w:name="_Toc70942454"/>
      <w:r>
        <w:rPr>
          <w:rFonts w:ascii="Garamond" w:hAnsi="Garamond" w:eastAsia="Calibri"/>
          <w:color w:val="FFFFFF" w:themeColor="background1"/>
          <w:sz w:val="36"/>
          <w:szCs w:val="36"/>
          <w14:textFill>
            <w14:solidFill>
              <w14:schemeClr w14:val="bg1"/>
            </w14:solidFill>
          </w14:textFill>
        </w:rPr>
        <w:t>DOMAINE 3 : ENERGIE SOLAIRE PHOTOVOLTAIQUE</w:t>
      </w:r>
      <w:bookmarkEnd w:id="6"/>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Les recherches envisagées pour ce domaine portent sur la chaine de conversion de l’énergie solaire photovoltaïque, de petite et grande puissance ainsi que les différentes applications de l’énergie solaire photovoltaïque. Les axes et thèmes de recherche concernent la cellule, le module et le générateur photovoltaïque, les centrales solaires connectées au réseau, les petits systèmes destinés aux sites isolés, les convertisseurs et dispositifs de contrôle et régulation ainsi que les applications photovoltaïques.</w:t>
      </w:r>
    </w:p>
    <w:p>
      <w:pPr>
        <w:spacing w:after="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Intégration des centrales photovoltaïques au réseau</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Etude et analyse des performances des systèmes photovoltaïques connectés au réseau,</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Impact de l’intégration du photovoltaïque dans les réseaux,</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i/>
          <w:iCs/>
          <w:color w:val="953735" w:themeColor="accent2" w:themeShade="BF"/>
          <w:sz w:val="28"/>
          <w:szCs w:val="28"/>
          <w:u w:val="single"/>
        </w:rPr>
        <w:t>:</w:t>
      </w:r>
      <w:r>
        <w:rPr>
          <w:rFonts w:ascii="Garamond" w:hAnsi="Garamond"/>
          <w:b/>
          <w:bCs/>
          <w:sz w:val="28"/>
          <w:szCs w:val="28"/>
        </w:rPr>
        <w:t xml:space="preserve"> </w:t>
      </w:r>
      <w:r>
        <w:rPr>
          <w:rFonts w:ascii="Garamond" w:hAnsi="Garamond" w:eastAsia="Calibri" w:cs="Arial"/>
          <w:sz w:val="28"/>
          <w:szCs w:val="28"/>
        </w:rPr>
        <w:t>Monitoring et surveillance des systèmes photovoltaïques connectés au réseau,</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Intégration de micro-réseaux photovoltaïques dans les réseaux électriques.</w:t>
      </w:r>
    </w:p>
    <w:p>
      <w:pPr>
        <w:spacing w:after="0"/>
        <w:jc w:val="both"/>
        <w:rPr>
          <w:rFonts w:ascii="Garamond" w:hAnsi="Garamond" w:eastAsia="Calibri" w:cs="Arial"/>
          <w:b/>
          <w:bCs/>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Systèmes et applications photovoltaïques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Pompage photovoltaïque,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Froid et climatisation solaire photovoltaïque,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Protection cathodique,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 xml:space="preserve">Alimentation des relais de Télécommunication,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Systèmes photovoltaïques autonomes,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 xml:space="preserve">Monitoring, suivi et maintenance des systèmes photovoltaïques,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7 :</w:t>
      </w:r>
      <w:r>
        <w:rPr>
          <w:rFonts w:ascii="Garamond" w:hAnsi="Garamond"/>
          <w:b/>
          <w:bCs/>
          <w:color w:val="008037"/>
          <w:sz w:val="28"/>
          <w:szCs w:val="28"/>
        </w:rPr>
        <w:t xml:space="preserve"> </w:t>
      </w:r>
      <w:r>
        <w:rPr>
          <w:rFonts w:ascii="Garamond" w:hAnsi="Garamond" w:eastAsia="Calibri" w:cs="Arial"/>
          <w:sz w:val="28"/>
          <w:szCs w:val="28"/>
        </w:rPr>
        <w:t>Alimentation énergétique des systèmes d’aération solaire (turbines alimentées par panneaux PV),</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hAnsi="Garamond" w:eastAsia="Calibri" w:cs="Arial"/>
          <w:sz w:val="28"/>
          <w:szCs w:val="28"/>
        </w:rPr>
        <w:t>Eclairage public,</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9 :</w:t>
      </w:r>
      <w:r>
        <w:rPr>
          <w:rFonts w:ascii="Garamond" w:hAnsi="Garamond"/>
          <w:b/>
          <w:bCs/>
          <w:color w:val="008037"/>
          <w:sz w:val="28"/>
          <w:szCs w:val="28"/>
        </w:rPr>
        <w:t xml:space="preserve"> </w:t>
      </w:r>
      <w:r>
        <w:rPr>
          <w:rFonts w:ascii="Garamond" w:hAnsi="Garamond" w:eastAsia="Calibri" w:cs="Arial"/>
          <w:sz w:val="28"/>
          <w:szCs w:val="28"/>
        </w:rPr>
        <w:t>Sécurité des installations.</w:t>
      </w:r>
    </w:p>
    <w:p>
      <w:pPr>
        <w:spacing w:after="0"/>
        <w:ind w:left="284"/>
        <w:jc w:val="both"/>
        <w:rPr>
          <w:rFonts w:ascii="Garamond" w:hAnsi="Garamond" w:eastAsia="Calibri" w:cs="Arial"/>
          <w:sz w:val="28"/>
          <w:szCs w:val="28"/>
        </w:rPr>
      </w:pPr>
    </w:p>
    <w:p>
      <w:pPr>
        <w:spacing w:after="0"/>
        <w:ind w:left="284"/>
        <w:jc w:val="both"/>
        <w:rPr>
          <w:rFonts w:ascii="Garamond" w:hAnsi="Garamond" w:eastAsia="Calibri" w:cs="Arial"/>
          <w:sz w:val="28"/>
          <w:szCs w:val="28"/>
        </w:rPr>
      </w:pPr>
    </w:p>
    <w:p>
      <w:pPr>
        <w:spacing w:after="0"/>
        <w:ind w:left="284"/>
        <w:jc w:val="both"/>
        <w:rPr>
          <w:rFonts w:ascii="Garamond" w:hAnsi="Garamond" w:eastAsia="Calibri" w:cs="Arial"/>
          <w:color w:val="008037"/>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Cellules, modules et générateurs photovoltaïques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Procédés Technologiques de fabrication de cellule et modules solaires,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Caractérisation de la cellule/module et générateur photovoltaïque,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Adaptation de la technologie photovoltaïque aux conditions désertiques. </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4 :</w:t>
      </w:r>
      <w:r>
        <w:rPr>
          <w:rFonts w:ascii="Garamond" w:hAnsi="Garamond" w:eastAsia="Calibri" w:cs="Arial"/>
          <w:b/>
          <w:bCs/>
          <w:color w:val="008037"/>
          <w:sz w:val="32"/>
          <w:szCs w:val="32"/>
        </w:rPr>
        <w:tab/>
      </w:r>
      <w:r>
        <w:rPr>
          <w:rFonts w:ascii="Garamond" w:hAnsi="Garamond" w:eastAsia="Calibri" w:cs="Arial"/>
          <w:b/>
          <w:bCs/>
          <w:color w:val="008037"/>
          <w:sz w:val="32"/>
          <w:szCs w:val="32"/>
        </w:rPr>
        <w:t>Conversion, gestion et contrôle des systèmes photovoltaïques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Convertisseurs statiques pour systèmes PV autonomes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Convertisseurs destinés aux systèmes PV connectés au réseau électrique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Dispositifs de régulation et de contrôle des systèmes de stockage.</w:t>
      </w:r>
    </w:p>
    <w:p>
      <w:pPr>
        <w:spacing w:after="0"/>
        <w:jc w:val="both"/>
        <w:rPr>
          <w:rFonts w:ascii="Garamond" w:hAnsi="Garamond" w:eastAsia="Calibri" w:cs="Arial"/>
          <w:sz w:val="28"/>
          <w:szCs w:val="28"/>
        </w:rPr>
      </w:pPr>
    </w:p>
    <w:p>
      <w:pPr>
        <w:rPr>
          <w:rFonts w:ascii="Garamond" w:hAnsi="Garamond" w:eastAsia="Calibri" w:cs="Arial"/>
          <w:sz w:val="28"/>
          <w:szCs w:val="28"/>
        </w:rPr>
      </w:pPr>
      <w:r>
        <w:rPr>
          <w:rFonts w:ascii="Garamond" w:hAnsi="Garamond" w:eastAsia="Calibri" w:cs="Arial"/>
          <w:sz w:val="28"/>
          <w:szCs w:val="28"/>
        </w:rPr>
        <w:br w:type="page"/>
      </w:r>
    </w:p>
    <w:p>
      <w:pPr>
        <w:pStyle w:val="3"/>
        <w:shd w:val="clear" w:color="auto" w:fill="008037"/>
        <w:jc w:val="center"/>
        <w:rPr>
          <w:rFonts w:ascii="Garamond" w:hAnsi="Garamond" w:eastAsia="Calibri"/>
          <w:color w:val="008037"/>
          <w:sz w:val="36"/>
          <w:szCs w:val="36"/>
        </w:rPr>
      </w:pPr>
      <w:bookmarkStart w:id="7" w:name="_Toc70942455"/>
      <w:r>
        <w:rPr>
          <w:rFonts w:ascii="Garamond" w:hAnsi="Garamond" w:eastAsia="Calibri"/>
          <w:color w:val="FFFFFF" w:themeColor="background1"/>
          <w:sz w:val="36"/>
          <w:szCs w:val="36"/>
          <w14:textFill>
            <w14:solidFill>
              <w14:schemeClr w14:val="bg1"/>
            </w14:solidFill>
          </w14:textFill>
        </w:rPr>
        <w:t>DOMAINE 4 : ENERGIE EOLIENNE</w:t>
      </w:r>
      <w:bookmarkEnd w:id="7"/>
    </w:p>
    <w:p>
      <w:pPr>
        <w:spacing w:after="0"/>
        <w:jc w:val="both"/>
        <w:rPr>
          <w:rFonts w:ascii="Garamond" w:hAnsi="Garamond" w:eastAsia="Calibri" w:cs="Arial"/>
          <w:b/>
          <w:bCs/>
          <w:sz w:val="28"/>
          <w:szCs w:val="28"/>
          <w:u w:val="single"/>
        </w:rPr>
      </w:pPr>
    </w:p>
    <w:p>
      <w:pPr>
        <w:spacing w:after="0"/>
        <w:jc w:val="both"/>
        <w:rPr>
          <w:rFonts w:ascii="Garamond" w:hAnsi="Garamond" w:eastAsia="Calibri" w:cs="Arial"/>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Ce domaine vise la maîtrise des systèmes de conversion d’énergie éolienne par l’étude et la conception de systèmes et éléments constituants une installation ainsi que l’analyse du comportement des éoliennes et leurs impacts sur l’environnement. Les thèmes de recherche porteront sur l’aérodynamique des éoliennes au sens large, les fermes éoliennes et leur intégration au réseau de distribution, le contrôle et la commande ainsi que les applications de petites puissances.</w:t>
      </w:r>
    </w:p>
    <w:p>
      <w:pPr>
        <w:spacing w:after="0"/>
        <w:jc w:val="both"/>
        <w:rPr>
          <w:rFonts w:ascii="Garamond" w:hAnsi="Garamond" w:eastAsia="Calibri" w:cs="Arial"/>
          <w:color w:val="953735" w:themeColor="accent2" w:themeShade="BF"/>
          <w:sz w:val="32"/>
          <w:szCs w:val="32"/>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Fermes éoliennes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Aménagements des parcs éoliens,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Impact des éoliennes sur l’environnement,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Contrôle des fermes éoliennes (aspects aérodynamiques),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Anémométrie à la nacelle,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Optimisation de l’intégration des fermes éoliennes dans le réseau électrique,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Impact des éoliennes sur le réseau électrique.</w:t>
      </w:r>
    </w:p>
    <w:p>
      <w:pPr>
        <w:spacing w:after="0"/>
        <w:jc w:val="both"/>
        <w:rPr>
          <w:rFonts w:ascii="Garamond" w:hAnsi="Garamond" w:eastAsia="Calibri" w:cs="Arial"/>
          <w:b/>
          <w:bCs/>
          <w:color w:val="953735" w:themeColor="accent2" w:themeShade="BF"/>
          <w:sz w:val="32"/>
          <w:szCs w:val="32"/>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Application du petit éolien</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eastAsia="Calibri" w:cs="Arial"/>
          <w:sz w:val="28"/>
          <w:szCs w:val="28"/>
        </w:rPr>
        <w:t>Pompage de l’eau,</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eastAsia="Calibri" w:cs="Arial"/>
          <w:sz w:val="28"/>
          <w:szCs w:val="28"/>
        </w:rPr>
        <w:t>Alimentation des sites isolés,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eastAsia="Calibri" w:cs="Arial"/>
          <w:sz w:val="28"/>
          <w:szCs w:val="28"/>
        </w:rPr>
        <w:t xml:space="preserve">Alimentation domestique,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eastAsia="Calibri" w:cs="Arial"/>
          <w:sz w:val="28"/>
          <w:szCs w:val="28"/>
        </w:rPr>
        <w:t>Alimentation des relais de télécommunications,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eastAsia="Calibri" w:cs="Arial"/>
          <w:sz w:val="28"/>
          <w:szCs w:val="28"/>
        </w:rPr>
        <w:t>Autres applications.</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Commande des systèmes éoliens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Commande des éoliennes de grandes puissances,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Commandes des petites éoliennes,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Convertisseur statique de puissance,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Diagnostic et localisation des défauts dans les systèmes éoliens.</w:t>
      </w:r>
    </w:p>
    <w:p>
      <w:pPr>
        <w:spacing w:after="0"/>
        <w:ind w:left="720"/>
        <w:jc w:val="both"/>
        <w:rPr>
          <w:rFonts w:ascii="Garamond" w:hAnsi="Garamond" w:eastAsia="Calibri" w:cs="Arial"/>
          <w:sz w:val="28"/>
          <w:szCs w:val="28"/>
        </w:rPr>
      </w:pPr>
    </w:p>
    <w:p>
      <w:pPr>
        <w:spacing w:after="0"/>
        <w:ind w:left="720"/>
        <w:jc w:val="both"/>
        <w:rPr>
          <w:rFonts w:ascii="Garamond" w:hAnsi="Garamond" w:eastAsia="Calibri" w:cs="Arial"/>
          <w:sz w:val="28"/>
          <w:szCs w:val="28"/>
        </w:rPr>
      </w:pPr>
    </w:p>
    <w:p>
      <w:pPr>
        <w:spacing w:after="0"/>
        <w:ind w:left="72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4 : Turbines éoliennes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Aérodynamique des éoliennes,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Aéroacoustique des éoliennes, contrôle des écoulements, interaction fluide structure,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Sillage des éoliennes,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Conception et fabrication des turbines éoliennes,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Adaptation des éoliennes aux conditions locales (effet de la température, effets du sable, …).</w:t>
      </w:r>
    </w:p>
    <w:p>
      <w:pPr>
        <w:pStyle w:val="11"/>
        <w:spacing w:line="276" w:lineRule="auto"/>
        <w:ind w:left="720"/>
        <w:jc w:val="both"/>
        <w:rPr>
          <w:rFonts w:ascii="Garamond" w:hAnsi="Garamond" w:eastAsia="Arial Unicode MS"/>
          <w:sz w:val="28"/>
          <w:szCs w:val="28"/>
          <w:lang w:eastAsia="en-US"/>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8" w:name="_Toc70942456"/>
      <w:r>
        <w:rPr>
          <w:rFonts w:ascii="Garamond" w:hAnsi="Garamond" w:eastAsia="Calibri"/>
          <w:color w:val="FFFFFF" w:themeColor="background1"/>
          <w:sz w:val="36"/>
          <w:szCs w:val="36"/>
          <w14:textFill>
            <w14:solidFill>
              <w14:schemeClr w14:val="bg1"/>
            </w14:solidFill>
          </w14:textFill>
        </w:rPr>
        <w:t>DOMAINE 5 : EFFICACITE ENERGETIQUE DANS LE BÂTIMENT</w:t>
      </w:r>
      <w:bookmarkEnd w:id="8"/>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Le programme d’efficacité énergétique adopté par le gouvernement porte principalement sur l’amélioration de l’isolation thermique des bâtiments, le développement du chauffe-eau solaire, la généralisation de l’utilisation des lampes à basse consommation d’énergie, la promotion de l’efficacité énergétique dans le secteur industriel et l’introduction des techniques de climatisation solaire. Les axes et thèmes de recherche sont développés autour de ces préoccupations.</w:t>
      </w:r>
    </w:p>
    <w:p>
      <w:pPr>
        <w:spacing w:after="0"/>
        <w:jc w:val="both"/>
        <w:rPr>
          <w:rFonts w:ascii="Garamond" w:hAnsi="Garamond" w:eastAsia="Calibri" w:cs="Arial"/>
          <w:color w:val="953735" w:themeColor="accent2" w:themeShade="BF"/>
          <w:sz w:val="32"/>
          <w:szCs w:val="32"/>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Intégration des systèmes énergétiques dans le bâtiment</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Optimisation des performances des systèmes PV et thermique intégrés dans le bâtiment,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Etude des phénomènes électriques et thermiques engendrés par l’intégration de panneaux solaires au bâti,</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Bâtiments à énergie positive,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Choix de la technologie PV,</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Outils numériques pour la conception architecturale.</w:t>
      </w:r>
    </w:p>
    <w:p>
      <w:pPr>
        <w:spacing w:after="0"/>
        <w:ind w:left="284"/>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 xml:space="preserve">Axe 2 : Concepts, techniques et pratiques traditionnels et modernes </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Optimisation de la consommation d’énergie, du confort et des ressources énergétiques,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w:t>
      </w:r>
      <w:r>
        <w:rPr>
          <w:rFonts w:ascii="Garamond" w:hAnsi="Garamond"/>
          <w:b/>
          <w:bCs/>
          <w:color w:val="008037"/>
          <w:sz w:val="28"/>
          <w:szCs w:val="28"/>
        </w:rPr>
        <w:t xml:space="preserve"> </w:t>
      </w:r>
      <w:r>
        <w:rPr>
          <w:rFonts w:ascii="Garamond" w:hAnsi="Garamond" w:eastAsia="Calibri" w:cs="Arial"/>
          <w:sz w:val="28"/>
          <w:szCs w:val="28"/>
        </w:rPr>
        <w:t>Intégration des systèmes solaires actifs pour le chauffage et le rafraichissement de l’habitat,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Outils de suivi et d'aide numérique à la conception architecturale,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Stratégies de contrôle passif et actif des constructions multizones,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Habitat solaire passif et actif,</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 xml:space="preserve">Urbanisme intelligent et cités intelligentes. </w:t>
      </w:r>
    </w:p>
    <w:p>
      <w:pPr>
        <w:pStyle w:val="11"/>
        <w:spacing w:line="276" w:lineRule="auto"/>
        <w:ind w:left="360"/>
        <w:jc w:val="both"/>
        <w:rPr>
          <w:rFonts w:ascii="Garamond" w:hAnsi="Garamond" w:eastAsia="Arial Unicode MS"/>
          <w:sz w:val="28"/>
          <w:szCs w:val="28"/>
          <w:lang w:eastAsia="en-US"/>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9" w:name="_Toc70942457"/>
      <w:r>
        <w:rPr>
          <w:rFonts w:ascii="Garamond" w:hAnsi="Garamond" w:eastAsia="Calibri"/>
          <w:color w:val="FFFFFF" w:themeColor="background1"/>
          <w:sz w:val="36"/>
          <w:szCs w:val="36"/>
          <w14:textFill>
            <w14:solidFill>
              <w14:schemeClr w14:val="bg1"/>
            </w14:solidFill>
          </w14:textFill>
        </w:rPr>
        <w:t>DOMAINE 6 : SYSTEMES HYBRIDES</w:t>
      </w:r>
      <w:bookmarkEnd w:id="9"/>
    </w:p>
    <w:p>
      <w:pPr>
        <w:spacing w:after="0"/>
        <w:jc w:val="both"/>
        <w:rPr>
          <w:rFonts w:ascii="Garamond" w:hAnsi="Garamond" w:eastAsia="Calibri" w:cs="Arial"/>
          <w:b/>
          <w:bCs/>
          <w:sz w:val="28"/>
          <w:szCs w:val="28"/>
        </w:rPr>
      </w:pPr>
    </w:p>
    <w:p>
      <w:pPr>
        <w:spacing w:after="0"/>
        <w:jc w:val="both"/>
        <w:rPr>
          <w:rFonts w:ascii="Garamond" w:hAnsi="Garamond" w:eastAsia="Calibri" w:cs="Arial"/>
          <w:b/>
          <w:bCs/>
          <w:color w:val="953735" w:themeColor="accent2" w:themeShade="BF"/>
          <w:sz w:val="32"/>
          <w:szCs w:val="32"/>
        </w:rPr>
      </w:pPr>
      <w:r>
        <w:rPr>
          <w:rFonts w:ascii="Garamond" w:hAnsi="Garamond" w:eastAsia="Calibri" w:cs="Arial"/>
          <w:b/>
          <w:bCs/>
          <w:color w:val="008037"/>
          <w:sz w:val="32"/>
          <w:szCs w:val="32"/>
        </w:rPr>
        <w:t xml:space="preserve">Axe 1 (Axe unique): ETUDE DES SYSTEMES HYBRIDES </w:t>
      </w:r>
    </w:p>
    <w:p>
      <w:pPr>
        <w:spacing w:after="0"/>
        <w:jc w:val="both"/>
        <w:rPr>
          <w:rFonts w:ascii="Garamond" w:hAnsi="Garamond" w:eastAsia="Calibri" w:cs="Arial"/>
          <w:b/>
          <w:bCs/>
          <w:color w:val="953735" w:themeColor="accent2" w:themeShade="BF"/>
          <w:sz w:val="28"/>
          <w:szCs w:val="28"/>
        </w:rPr>
      </w:pPr>
    </w:p>
    <w:p>
      <w:pPr>
        <w:spacing w:after="0"/>
        <w:contextualSpacing/>
        <w:jc w:val="both"/>
        <w:rPr>
          <w:rFonts w:ascii="Garamond" w:hAnsi="Garamond" w:eastAsia="Calibri" w:cs="Arial"/>
          <w:sz w:val="28"/>
          <w:szCs w:val="28"/>
        </w:rPr>
      </w:pPr>
      <w:r>
        <w:rPr>
          <w:rFonts w:ascii="Garamond" w:hAnsi="Garamond" w:eastAsia="Calibri" w:cs="Arial"/>
          <w:sz w:val="28"/>
          <w:szCs w:val="28"/>
        </w:rPr>
        <w:t>Le cout d’extension du réseau électrique étant prohibitif, le générateur diesel est la source principale d’énergie électrique utilisée dans les régions isolées ou dans le Sud du pays. Or la plupart des microcentrales diesel en fonctionnement sont exploitées dans des conditions très difficiles qui entraînent des consommations élevées de combustible, des frais de maintenance et des coûts de transport du fuel exorbitants. Les systèmes multi sources et l’hybridation des générateurs diesel par les systèmes à sources renouvelables peuvent dans ces cas constituer un complément ou une alternative aux groupes électrogènes diesel existants.</w:t>
      </w:r>
    </w:p>
    <w:p>
      <w:pPr>
        <w:spacing w:after="0"/>
        <w:contextualSpacing/>
        <w:jc w:val="both"/>
        <w:rPr>
          <w:rFonts w:ascii="Garamond" w:hAnsi="Garamond" w:eastAsia="Calibri" w:cs="Arial"/>
          <w:sz w:val="28"/>
          <w:szCs w:val="28"/>
        </w:rPr>
      </w:pPr>
      <w:r>
        <w:rPr>
          <w:rFonts w:ascii="Garamond" w:hAnsi="Garamond" w:eastAsia="Calibri" w:cs="Arial"/>
          <w:sz w:val="28"/>
          <w:szCs w:val="28"/>
        </w:rPr>
        <w:t xml:space="preserve"> Les thèmes de recherche à développer portent sur les études des différents types de systèmes hybrides, l’hybridation des centrales existantes au sud, la connexion au réseau ainsi que le contrôle et la gestion de l’énergie.</w:t>
      </w:r>
    </w:p>
    <w:p>
      <w:pPr>
        <w:spacing w:after="0"/>
        <w:ind w:left="360"/>
        <w:contextualSpacing/>
        <w:jc w:val="both"/>
        <w:rPr>
          <w:rFonts w:ascii="Garamond" w:hAnsi="Garamond" w:eastAsia="Calibri" w:cs="Arial"/>
          <w:sz w:val="28"/>
          <w:szCs w:val="28"/>
        </w:rPr>
      </w:pP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Etude des différents types de systèmes hybrides,</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Hybridation des centrales conventionnelles dans les réseaux isolés, </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Systèmes hybrides connectés au réseau, </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 xml:space="preserve">Contrôle et gestion de l’énergie dans les systèmes hybrides, </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Développement de logiciels de dimensionnement et d’optimisation des systèmes hybrides,</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Autres applications des systèmes hybrides.</w:t>
      </w:r>
    </w:p>
    <w:p>
      <w:pPr>
        <w:pStyle w:val="11"/>
        <w:spacing w:line="276" w:lineRule="auto"/>
        <w:ind w:left="360"/>
        <w:jc w:val="both"/>
        <w:rPr>
          <w:rFonts w:ascii="Garamond" w:hAnsi="Garamond" w:eastAsia="Arial Unicode MS"/>
          <w:sz w:val="28"/>
          <w:szCs w:val="28"/>
          <w:lang w:eastAsia="en-US"/>
        </w:rPr>
      </w:pPr>
    </w:p>
    <w:p>
      <w:pPr>
        <w:pStyle w:val="11"/>
        <w:spacing w:line="276" w:lineRule="auto"/>
        <w:ind w:left="360"/>
        <w:jc w:val="both"/>
        <w:rPr>
          <w:rFonts w:ascii="Garamond" w:hAnsi="Garamond" w:eastAsia="Arial Unicode MS"/>
          <w:sz w:val="28"/>
          <w:szCs w:val="28"/>
          <w:lang w:eastAsia="en-US"/>
        </w:rPr>
      </w:pPr>
    </w:p>
    <w:p>
      <w:pPr>
        <w:pStyle w:val="11"/>
        <w:spacing w:line="276" w:lineRule="auto"/>
        <w:ind w:left="360"/>
        <w:jc w:val="both"/>
        <w:rPr>
          <w:rFonts w:ascii="Garamond" w:hAnsi="Garamond" w:eastAsia="Arial Unicode MS"/>
          <w:sz w:val="28"/>
          <w:szCs w:val="28"/>
          <w:lang w:eastAsia="en-US"/>
        </w:rPr>
      </w:pPr>
    </w:p>
    <w:p>
      <w:pPr>
        <w:pStyle w:val="11"/>
        <w:spacing w:line="276" w:lineRule="auto"/>
        <w:ind w:left="360"/>
        <w:jc w:val="both"/>
        <w:rPr>
          <w:rFonts w:ascii="Garamond" w:hAnsi="Garamond" w:eastAsia="Arial Unicode MS"/>
          <w:sz w:val="28"/>
          <w:szCs w:val="28"/>
          <w:lang w:eastAsia="en-US"/>
        </w:rPr>
      </w:pPr>
    </w:p>
    <w:p>
      <w:pPr>
        <w:pStyle w:val="11"/>
        <w:spacing w:line="276" w:lineRule="auto"/>
        <w:ind w:left="360"/>
        <w:jc w:val="both"/>
        <w:rPr>
          <w:rFonts w:ascii="Garamond" w:hAnsi="Garamond" w:eastAsia="Arial Unicode MS"/>
          <w:sz w:val="28"/>
          <w:szCs w:val="28"/>
          <w:lang w:eastAsia="en-US"/>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0" w:name="_Toc70942458"/>
      <w:r>
        <w:rPr>
          <w:rFonts w:ascii="Garamond" w:hAnsi="Garamond" w:eastAsia="Calibri"/>
          <w:color w:val="FFFFFF" w:themeColor="background1"/>
          <w:sz w:val="36"/>
          <w:szCs w:val="36"/>
          <w14:textFill>
            <w14:solidFill>
              <w14:schemeClr w14:val="bg1"/>
            </w14:solidFill>
          </w14:textFill>
        </w:rPr>
        <w:t>DOMAINE 7 : ENERGIE SOLAIRE THERMIQUE</w:t>
      </w:r>
      <w:bookmarkEnd w:id="10"/>
    </w:p>
    <w:p>
      <w:pPr>
        <w:spacing w:after="0"/>
        <w:jc w:val="both"/>
        <w:rPr>
          <w:rFonts w:ascii="Garamond" w:hAnsi="Garamond" w:eastAsia="Calibri" w:cs="Arial"/>
          <w:b/>
          <w:bCs/>
          <w:sz w:val="28"/>
          <w:szCs w:val="28"/>
        </w:rPr>
      </w:pPr>
    </w:p>
    <w:p>
      <w:pPr>
        <w:spacing w:after="0"/>
        <w:jc w:val="both"/>
        <w:rPr>
          <w:rFonts w:ascii="Garamond" w:hAnsi="Garamond" w:eastAsia="Calibri" w:cs="Arial"/>
          <w:bCs/>
          <w:sz w:val="28"/>
          <w:szCs w:val="28"/>
        </w:rPr>
      </w:pPr>
      <w:r>
        <w:rPr>
          <w:rFonts w:ascii="Garamond" w:hAnsi="Garamond" w:eastAsia="Calibri" w:cs="Arial"/>
          <w:bCs/>
          <w:sz w:val="28"/>
          <w:szCs w:val="28"/>
        </w:rPr>
        <w:t xml:space="preserve">Ce domaine de recherche concerne la maîtrise des technologies permettant la conversion du rayonnement solaire en énergie </w:t>
      </w:r>
      <w:r>
        <w:rPr>
          <w:rFonts w:ascii="Garamond" w:hAnsi="Garamond" w:eastAsia="Calibri" w:cs="Arial"/>
          <w:bCs/>
          <w:color w:val="000000" w:themeColor="text1"/>
          <w:sz w:val="28"/>
          <w:szCs w:val="28"/>
          <w14:textFill>
            <w14:solidFill>
              <w14:schemeClr w14:val="tx1"/>
            </w14:solidFill>
          </w14:textFill>
        </w:rPr>
        <w:t xml:space="preserve">calorifique par l’étude et la conception de systèmes et de composants constituant une installation. Les installations considérées sont aussi bien les centrales thermodynamiques solaires de puissances que les applications solaires à basse température. Les thèmes de recherche à développer portent sur les centrales thermodynamiques à concentration solaire, la climatisation et la réfrigération solaire, le </w:t>
      </w:r>
      <w:r>
        <w:rPr>
          <w:rFonts w:ascii="Garamond" w:hAnsi="Garamond" w:eastAsia="Calibri" w:cs="Arial"/>
          <w:bCs/>
          <w:sz w:val="28"/>
          <w:szCs w:val="28"/>
        </w:rPr>
        <w:t>séchage solaire et autres applications.</w:t>
      </w:r>
    </w:p>
    <w:p>
      <w:pPr>
        <w:spacing w:after="0"/>
        <w:jc w:val="both"/>
        <w:rPr>
          <w:rFonts w:ascii="Garamond" w:hAnsi="Garamond" w:eastAsia="Calibri" w:cs="Arial"/>
          <w:bCs/>
          <w:sz w:val="28"/>
          <w:szCs w:val="28"/>
        </w:rPr>
      </w:pPr>
    </w:p>
    <w:p>
      <w:pPr>
        <w:spacing w:after="0"/>
        <w:jc w:val="both"/>
        <w:rPr>
          <w:rFonts w:ascii="Garamond" w:hAnsi="Garamond" w:eastAsia="Calibri" w:cs="Arial"/>
          <w:b/>
          <w:color w:val="008037"/>
          <w:sz w:val="32"/>
          <w:szCs w:val="32"/>
        </w:rPr>
      </w:pPr>
      <w:r>
        <w:rPr>
          <w:rFonts w:ascii="Garamond" w:hAnsi="Garamond" w:eastAsia="Calibri" w:cs="Arial"/>
          <w:b/>
          <w:color w:val="008037"/>
          <w:sz w:val="32"/>
          <w:szCs w:val="32"/>
        </w:rPr>
        <w:t>Axe 1 : Centrales thermodynamiques à concentration solaire</w:t>
      </w:r>
    </w:p>
    <w:p>
      <w:pPr>
        <w:spacing w:after="0"/>
        <w:jc w:val="both"/>
        <w:rPr>
          <w:rFonts w:ascii="Garamond" w:hAnsi="Garamond" w:eastAsia="Calibri" w:cs="Arial"/>
          <w:bCs/>
          <w:color w:val="953735" w:themeColor="accent2" w:themeShade="BF"/>
          <w:sz w:val="32"/>
          <w:szCs w:val="32"/>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 xml:space="preserve">Thème 1 : </w:t>
      </w:r>
      <w:r>
        <w:rPr>
          <w:rFonts w:ascii="Garamond" w:hAnsi="Garamond" w:eastAsia="Calibri" w:cs="Arial"/>
          <w:sz w:val="28"/>
          <w:szCs w:val="28"/>
        </w:rPr>
        <w:t>Ingénierie pour la conception et la réalisation :</w:t>
      </w:r>
    </w:p>
    <w:p>
      <w:pPr>
        <w:pStyle w:val="18"/>
        <w:numPr>
          <w:ilvl w:val="0"/>
          <w:numId w:val="3"/>
        </w:numPr>
        <w:spacing w:after="0"/>
        <w:jc w:val="both"/>
        <w:rPr>
          <w:rFonts w:ascii="Garamond" w:hAnsi="Garamond" w:eastAsia="Calibri" w:cs="Arial"/>
          <w:sz w:val="28"/>
          <w:szCs w:val="28"/>
        </w:rPr>
      </w:pPr>
      <w:r>
        <w:rPr>
          <w:rFonts w:ascii="Garamond" w:hAnsi="Garamond" w:eastAsia="Calibri" w:cs="Arial"/>
          <w:sz w:val="28"/>
          <w:szCs w:val="28"/>
        </w:rPr>
        <w:t>Récepteurs thermiques, miroirs et réflecteurs solaires,</w:t>
      </w:r>
    </w:p>
    <w:p>
      <w:pPr>
        <w:pStyle w:val="18"/>
        <w:numPr>
          <w:ilvl w:val="0"/>
          <w:numId w:val="3"/>
        </w:numPr>
        <w:spacing w:after="0"/>
        <w:jc w:val="both"/>
        <w:rPr>
          <w:rFonts w:ascii="Garamond" w:hAnsi="Garamond" w:eastAsia="Calibri" w:cs="Arial"/>
          <w:sz w:val="28"/>
          <w:szCs w:val="28"/>
        </w:rPr>
      </w:pPr>
      <w:r>
        <w:rPr>
          <w:rFonts w:ascii="Garamond" w:hAnsi="Garamond" w:eastAsia="Calibri" w:cs="Arial"/>
          <w:sz w:val="28"/>
          <w:szCs w:val="28"/>
        </w:rPr>
        <w:t>Ingénierie pour la conception et la réalisation des composants des centrales de puissance à concentration solaire,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Centrales de puissance à concentration solaire :</w:t>
      </w:r>
    </w:p>
    <w:p>
      <w:pPr>
        <w:pStyle w:val="18"/>
        <w:numPr>
          <w:ilvl w:val="0"/>
          <w:numId w:val="4"/>
        </w:numPr>
        <w:spacing w:after="0"/>
        <w:jc w:val="both"/>
        <w:rPr>
          <w:rFonts w:ascii="Garamond" w:hAnsi="Garamond" w:eastAsia="Calibri" w:cs="Arial"/>
          <w:sz w:val="28"/>
          <w:szCs w:val="28"/>
        </w:rPr>
      </w:pPr>
      <w:r>
        <w:rPr>
          <w:rFonts w:ascii="Garamond" w:hAnsi="Garamond" w:eastAsia="Calibri" w:cs="Arial"/>
          <w:sz w:val="28"/>
          <w:szCs w:val="28"/>
        </w:rPr>
        <w:t>Transfert de chaleur, stockage thermique et thermochimique de l’énergie,</w:t>
      </w:r>
    </w:p>
    <w:p>
      <w:pPr>
        <w:pStyle w:val="18"/>
        <w:numPr>
          <w:ilvl w:val="0"/>
          <w:numId w:val="4"/>
        </w:numPr>
        <w:spacing w:after="0"/>
        <w:jc w:val="both"/>
        <w:rPr>
          <w:rFonts w:ascii="Garamond" w:hAnsi="Garamond" w:eastAsia="Calibri" w:cs="Arial"/>
          <w:sz w:val="28"/>
          <w:szCs w:val="28"/>
        </w:rPr>
      </w:pPr>
      <w:r>
        <w:rPr>
          <w:rFonts w:ascii="Garamond" w:hAnsi="Garamond" w:eastAsia="Calibri" w:cs="Arial"/>
          <w:sz w:val="28"/>
          <w:szCs w:val="28"/>
        </w:rPr>
        <w:t>Production de chaleur et de froid solaire pour les procédés industriels,</w:t>
      </w:r>
    </w:p>
    <w:p>
      <w:pPr>
        <w:pStyle w:val="18"/>
        <w:numPr>
          <w:ilvl w:val="0"/>
          <w:numId w:val="4"/>
        </w:numPr>
        <w:spacing w:after="0"/>
        <w:jc w:val="both"/>
        <w:rPr>
          <w:rFonts w:ascii="Garamond" w:hAnsi="Garamond" w:eastAsia="Calibri" w:cs="Arial"/>
          <w:sz w:val="28"/>
          <w:szCs w:val="28"/>
        </w:rPr>
      </w:pPr>
      <w:r>
        <w:rPr>
          <w:rFonts w:ascii="Garamond" w:hAnsi="Garamond" w:eastAsia="Calibri" w:cs="Arial"/>
          <w:sz w:val="28"/>
          <w:szCs w:val="28"/>
        </w:rPr>
        <w:t>Production d’électricité.</w:t>
      </w:r>
    </w:p>
    <w:p>
      <w:pPr>
        <w:pStyle w:val="18"/>
        <w:spacing w:after="0"/>
        <w:ind w:left="108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Climatisation et réfrigération solaire thermique</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Réfrigération solaire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Transport réfrigéré</w:t>
      </w:r>
    </w:p>
    <w:p>
      <w:pPr>
        <w:spacing w:after="0"/>
        <w:ind w:left="284"/>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Systèmes basses températures et applications thermiques</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Ingénierie pour la conception et la réalisation :</w:t>
      </w:r>
    </w:p>
    <w:p>
      <w:pPr>
        <w:pStyle w:val="18"/>
        <w:numPr>
          <w:ilvl w:val="0"/>
          <w:numId w:val="5"/>
        </w:numPr>
        <w:spacing w:after="0"/>
        <w:jc w:val="both"/>
        <w:rPr>
          <w:rFonts w:ascii="Garamond" w:hAnsi="Garamond" w:eastAsia="Calibri" w:cs="Arial"/>
          <w:sz w:val="28"/>
          <w:szCs w:val="28"/>
        </w:rPr>
      </w:pPr>
      <w:r>
        <w:rPr>
          <w:rFonts w:ascii="Garamond" w:hAnsi="Garamond" w:eastAsia="Calibri" w:cs="Arial"/>
          <w:sz w:val="28"/>
          <w:szCs w:val="28"/>
        </w:rPr>
        <w:t xml:space="preserve">Capteurs solaires hybrides photovoltaïque / thermique, </w:t>
      </w:r>
    </w:p>
    <w:p>
      <w:pPr>
        <w:pStyle w:val="18"/>
        <w:numPr>
          <w:ilvl w:val="0"/>
          <w:numId w:val="5"/>
        </w:numPr>
        <w:spacing w:after="0"/>
        <w:jc w:val="both"/>
        <w:rPr>
          <w:rFonts w:ascii="Garamond" w:hAnsi="Garamond" w:eastAsia="Calibri" w:cs="Arial"/>
          <w:sz w:val="28"/>
          <w:szCs w:val="28"/>
        </w:rPr>
      </w:pPr>
      <w:r>
        <w:rPr>
          <w:rFonts w:ascii="Garamond" w:hAnsi="Garamond" w:eastAsia="Calibri" w:cs="Arial"/>
          <w:sz w:val="28"/>
          <w:szCs w:val="28"/>
        </w:rPr>
        <w:t xml:space="preserve">Séchoirs solaires des produits agroalimentaires, médicinaux, … </w:t>
      </w:r>
    </w:p>
    <w:p>
      <w:pPr>
        <w:spacing w:after="0"/>
        <w:ind w:left="720"/>
        <w:contextualSpacing/>
        <w:jc w:val="both"/>
        <w:rPr>
          <w:rFonts w:ascii="Garamond" w:hAnsi="Garamond" w:eastAsia="Calibri" w:cs="Arial"/>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1" w:name="_Toc70942459"/>
      <w:r>
        <w:rPr>
          <w:rFonts w:ascii="Garamond" w:hAnsi="Garamond" w:eastAsia="Calibri"/>
          <w:color w:val="FFFFFF" w:themeColor="background1"/>
          <w:sz w:val="36"/>
          <w:szCs w:val="36"/>
          <w14:textFill>
            <w14:solidFill>
              <w14:schemeClr w14:val="bg1"/>
            </w14:solidFill>
          </w14:textFill>
        </w:rPr>
        <w:t>DOMAINE 8 : COGENERATION</w:t>
      </w:r>
      <w:bookmarkEnd w:id="11"/>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 xml:space="preserve">La cogénération visée ici concerne la valorisation de la chaleur produite par les centrales de production d’électricité. Les thèmes de recherche/développement portent sur l’étude, la conception, les applications et la maîtrise des process de fonctionnement des installations de cogénération. </w:t>
      </w:r>
    </w:p>
    <w:p>
      <w:pPr>
        <w:spacing w:after="0"/>
        <w:jc w:val="both"/>
        <w:rPr>
          <w:rFonts w:ascii="Garamond" w:hAnsi="Garamond" w:eastAsia="Calibri" w:cs="Arial"/>
          <w:sz w:val="28"/>
          <w:szCs w:val="28"/>
        </w:rPr>
      </w:pPr>
    </w:p>
    <w:p>
      <w:pPr>
        <w:spacing w:after="0"/>
        <w:jc w:val="both"/>
        <w:rPr>
          <w:rFonts w:ascii="Garamond" w:hAnsi="Garamond" w:eastAsia="Calibri" w:cs="Arial"/>
          <w:sz w:val="28"/>
          <w:szCs w:val="28"/>
        </w:rPr>
      </w:pPr>
    </w:p>
    <w:p>
      <w:pPr>
        <w:spacing w:after="0"/>
        <w:jc w:val="both"/>
        <w:rPr>
          <w:rFonts w:ascii="Garamond" w:hAnsi="Garamond" w:eastAsia="Calibri" w:cs="Arial"/>
          <w:sz w:val="28"/>
          <w:szCs w:val="28"/>
        </w:rPr>
      </w:pPr>
    </w:p>
    <w:p>
      <w:pPr>
        <w:tabs>
          <w:tab w:val="left" w:pos="1843"/>
        </w:tabs>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Applications de la cogénération</w:t>
      </w:r>
    </w:p>
    <w:p>
      <w:pPr>
        <w:tabs>
          <w:tab w:val="left" w:pos="1843"/>
        </w:tabs>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Chauffage de l’eau, Chauffage des locaux,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Traitement de l’eau et dessalement,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Production d’électricité,</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 xml:space="preserve">Thème 4 : </w:t>
      </w:r>
      <w:r>
        <w:rPr>
          <w:rFonts w:ascii="Garamond" w:hAnsi="Garamond" w:eastAsia="Calibri" w:cs="Arial"/>
          <w:sz w:val="28"/>
          <w:szCs w:val="28"/>
        </w:rPr>
        <w:t>Autres applications.</w:t>
      </w:r>
    </w:p>
    <w:p>
      <w:pPr>
        <w:spacing w:after="0"/>
        <w:ind w:left="284"/>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Cogénération</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Installations à chaudières et turbines à vapeur,</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Installations à moteur à combustion interne.</w:t>
      </w:r>
    </w:p>
    <w:p>
      <w:pPr>
        <w:spacing w:after="0"/>
        <w:ind w:left="284"/>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Micro-cogénération</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Moteurs à combustion (interne ou externe),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Installations de micro-cogénération.</w:t>
      </w:r>
    </w:p>
    <w:p>
      <w:pPr>
        <w:pStyle w:val="11"/>
        <w:spacing w:line="276" w:lineRule="auto"/>
        <w:ind w:left="720"/>
        <w:jc w:val="both"/>
        <w:rPr>
          <w:rFonts w:ascii="Garamond" w:hAnsi="Garamond" w:eastAsia="Arial Unicode MS"/>
          <w:sz w:val="28"/>
          <w:szCs w:val="28"/>
          <w:lang w:eastAsia="en-US"/>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tabs>
          <w:tab w:val="left" w:pos="567"/>
        </w:tabs>
        <w:spacing w:after="0"/>
        <w:jc w:val="both"/>
        <w:rPr>
          <w:rFonts w:ascii="Garamond" w:hAnsi="Garamond" w:eastAsia="Calibri" w:cs="Arial"/>
          <w:b/>
          <w:bCs/>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2" w:name="_Toc70942460"/>
      <w:r>
        <w:rPr>
          <w:rFonts w:ascii="Garamond" w:hAnsi="Garamond" w:eastAsia="Calibri"/>
          <w:color w:val="FFFFFF" w:themeColor="background1"/>
          <w:sz w:val="36"/>
          <w:szCs w:val="36"/>
          <w14:textFill>
            <w14:solidFill>
              <w14:schemeClr w14:val="bg1"/>
            </w14:solidFill>
          </w14:textFill>
        </w:rPr>
        <w:t>DOMAINE 9 : EXPLOITATION ET MAINTENANCE DES CENTRALES EnR</w:t>
      </w:r>
      <w:bookmarkEnd w:id="12"/>
    </w:p>
    <w:p>
      <w:pPr>
        <w:tabs>
          <w:tab w:val="left" w:pos="567"/>
        </w:tabs>
        <w:spacing w:after="0"/>
        <w:jc w:val="both"/>
        <w:rPr>
          <w:rFonts w:ascii="Garamond" w:hAnsi="Garamond" w:eastAsia="Calibri" w:cs="Arial"/>
          <w:b/>
          <w:bCs/>
          <w:sz w:val="28"/>
          <w:szCs w:val="28"/>
        </w:rPr>
      </w:pPr>
    </w:p>
    <w:p>
      <w:pPr>
        <w:tabs>
          <w:tab w:val="left" w:pos="567"/>
        </w:tabs>
        <w:spacing w:after="0"/>
        <w:contextualSpacing/>
        <w:jc w:val="both"/>
        <w:rPr>
          <w:rFonts w:ascii="Garamond" w:hAnsi="Garamond" w:eastAsia="Calibri" w:cs="Arial"/>
          <w:sz w:val="28"/>
          <w:szCs w:val="28"/>
        </w:rPr>
      </w:pPr>
    </w:p>
    <w:p>
      <w:pPr>
        <w:tabs>
          <w:tab w:val="left" w:pos="567"/>
        </w:tabs>
        <w:spacing w:after="0"/>
        <w:contextualSpacing/>
        <w:jc w:val="both"/>
        <w:rPr>
          <w:rFonts w:ascii="Garamond" w:hAnsi="Garamond" w:eastAsia="Calibri" w:cs="Arial"/>
          <w:sz w:val="28"/>
          <w:szCs w:val="28"/>
        </w:rPr>
      </w:pPr>
      <w:r>
        <w:rPr>
          <w:rFonts w:ascii="Garamond" w:hAnsi="Garamond" w:eastAsia="Calibri" w:cs="Arial"/>
          <w:sz w:val="28"/>
          <w:szCs w:val="28"/>
        </w:rPr>
        <w:t>La mise en œuvre du programme national des énergies renouvelables nécessite un suivi des performances des centrales EnR ainsi que le développement de techniques et outils nécessaires au diagnostic des installations, à leur contrôle et à la gestion intelligente ainsi qu’à leur maintenance. Les thèmes de recherche porteront sur le suivi du fonctionnement des centrales, les stratégies et systèmes de contrôle et de gestion intelligente, la maintenance et les systèmes d’entretien innovants.</w:t>
      </w:r>
    </w:p>
    <w:p>
      <w:pPr>
        <w:tabs>
          <w:tab w:val="left" w:pos="567"/>
        </w:tabs>
        <w:spacing w:after="0"/>
        <w:contextualSpacing/>
        <w:jc w:val="both"/>
        <w:rPr>
          <w:rFonts w:ascii="Garamond" w:hAnsi="Garamond" w:eastAsia="Calibri" w:cs="Arial"/>
          <w:sz w:val="28"/>
          <w:szCs w:val="28"/>
        </w:rPr>
      </w:pPr>
    </w:p>
    <w:p>
      <w:pPr>
        <w:tabs>
          <w:tab w:val="left" w:pos="567"/>
        </w:tabs>
        <w:spacing w:after="0"/>
        <w:contextualSpacing/>
        <w:jc w:val="both"/>
        <w:rPr>
          <w:rFonts w:ascii="Garamond" w:hAnsi="Garamond" w:eastAsia="Calibri" w:cs="Arial"/>
          <w:b/>
          <w:bCs/>
          <w:color w:val="008037"/>
          <w:sz w:val="32"/>
          <w:szCs w:val="32"/>
        </w:rPr>
      </w:pPr>
      <w:r>
        <w:rPr>
          <w:rFonts w:ascii="Garamond" w:hAnsi="Garamond" w:eastAsia="Calibri" w:cs="Arial"/>
          <w:b/>
          <w:bCs/>
          <w:color w:val="008037"/>
          <w:sz w:val="32"/>
          <w:szCs w:val="32"/>
        </w:rPr>
        <w:t>Axe 1. Exploitation des centrales EnR</w:t>
      </w:r>
    </w:p>
    <w:p>
      <w:pPr>
        <w:tabs>
          <w:tab w:val="left" w:pos="567"/>
        </w:tabs>
        <w:spacing w:after="0"/>
        <w:contextualSpacing/>
        <w:jc w:val="both"/>
        <w:rPr>
          <w:rFonts w:ascii="Garamond" w:hAnsi="Garamond" w:eastAsia="Calibri" w:cs="Arial"/>
          <w:b/>
          <w:bCs/>
          <w:sz w:val="28"/>
          <w:szCs w:val="28"/>
        </w:rPr>
      </w:pPr>
    </w:p>
    <w:p>
      <w:pPr>
        <w:tabs>
          <w:tab w:val="left" w:pos="567"/>
        </w:tabs>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 xml:space="preserve">Suivi en temps réel du fonctionnement des centrales EnR, </w:t>
      </w:r>
    </w:p>
    <w:p>
      <w:pPr>
        <w:tabs>
          <w:tab w:val="left" w:pos="567"/>
        </w:tabs>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Stratégies et systèmes de contrôle et de gestion intelligente de l’énergie dans les systèmes EnR,</w:t>
      </w:r>
    </w:p>
    <w:p>
      <w:pPr>
        <w:tabs>
          <w:tab w:val="left" w:pos="567"/>
        </w:tabs>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Fiabilité des systèmes EnR,</w:t>
      </w:r>
    </w:p>
    <w:p>
      <w:pPr>
        <w:tabs>
          <w:tab w:val="left" w:pos="567"/>
        </w:tabs>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hAnsi="Garamond" w:eastAsia="Calibri" w:cs="Arial"/>
          <w:sz w:val="28"/>
          <w:szCs w:val="28"/>
        </w:rPr>
        <w:t>Exploitation des fermes éoliennes ou solaires et dégradation de leurs performances,</w:t>
      </w:r>
    </w:p>
    <w:p>
      <w:pPr>
        <w:tabs>
          <w:tab w:val="left" w:pos="567"/>
        </w:tabs>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hAnsi="Garamond" w:eastAsia="Calibri" w:cs="Arial"/>
          <w:sz w:val="28"/>
          <w:szCs w:val="28"/>
        </w:rPr>
        <w:t>Sécurité des fermes EnR.</w:t>
      </w:r>
    </w:p>
    <w:p>
      <w:pPr>
        <w:tabs>
          <w:tab w:val="left" w:pos="567"/>
        </w:tabs>
        <w:spacing w:after="0"/>
        <w:ind w:left="284"/>
        <w:contextualSpacing/>
        <w:jc w:val="both"/>
        <w:rPr>
          <w:rFonts w:ascii="Garamond" w:hAnsi="Garamond" w:eastAsia="Calibri" w:cs="Arial"/>
          <w:sz w:val="28"/>
          <w:szCs w:val="28"/>
        </w:rPr>
      </w:pPr>
    </w:p>
    <w:p>
      <w:pPr>
        <w:tabs>
          <w:tab w:val="left" w:pos="567"/>
        </w:tabs>
        <w:spacing w:after="0"/>
        <w:contextualSpacing/>
        <w:jc w:val="both"/>
        <w:rPr>
          <w:rFonts w:ascii="Garamond" w:hAnsi="Garamond" w:eastAsia="Calibri" w:cs="Arial"/>
          <w:b/>
          <w:bCs/>
          <w:sz w:val="28"/>
          <w:szCs w:val="28"/>
        </w:rPr>
      </w:pPr>
      <w:r>
        <w:rPr>
          <w:rFonts w:ascii="Garamond" w:hAnsi="Garamond" w:eastAsia="Calibri" w:cs="Arial"/>
          <w:b/>
          <w:bCs/>
          <w:color w:val="008037"/>
          <w:sz w:val="32"/>
          <w:szCs w:val="32"/>
        </w:rPr>
        <w:t>Axe 2. Maintenance des centrales EnR</w:t>
      </w:r>
    </w:p>
    <w:p>
      <w:pPr>
        <w:tabs>
          <w:tab w:val="left" w:pos="567"/>
        </w:tabs>
        <w:spacing w:after="0"/>
        <w:contextualSpacing/>
        <w:jc w:val="both"/>
        <w:rPr>
          <w:rFonts w:ascii="Garamond" w:hAnsi="Garamond" w:eastAsia="Calibri" w:cs="Arial"/>
          <w:b/>
          <w:bCs/>
          <w:sz w:val="28"/>
          <w:szCs w:val="28"/>
        </w:rPr>
      </w:pPr>
    </w:p>
    <w:p>
      <w:pPr>
        <w:tabs>
          <w:tab w:val="left" w:pos="567"/>
        </w:tabs>
        <w:spacing w:after="0"/>
        <w:ind w:firstLine="284"/>
        <w:contextualSpacing/>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 xml:space="preserve">Diagnostic et localisation des défauts dans les centrales EnR, </w:t>
      </w:r>
    </w:p>
    <w:p>
      <w:pPr>
        <w:tabs>
          <w:tab w:val="left" w:pos="567"/>
        </w:tabs>
        <w:spacing w:after="0"/>
        <w:ind w:firstLine="284"/>
        <w:contextualSpacing/>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Maintenance (fréquence d’entretien des panneaux PV, …),</w:t>
      </w:r>
    </w:p>
    <w:p>
      <w:pPr>
        <w:tabs>
          <w:tab w:val="left" w:pos="567"/>
        </w:tabs>
        <w:spacing w:after="0"/>
        <w:ind w:firstLine="284"/>
        <w:contextualSpacing/>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 xml:space="preserve">Systèmes innovants d’entretien des centrales EnR, </w:t>
      </w: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3" w:name="_Toc70942461"/>
      <w:r>
        <w:rPr>
          <w:rFonts w:ascii="Garamond" w:hAnsi="Garamond" w:eastAsia="Calibri"/>
          <w:color w:val="FFFFFF" w:themeColor="background1"/>
          <w:sz w:val="36"/>
          <w:szCs w:val="36"/>
          <w14:textFill>
            <w14:solidFill>
              <w14:schemeClr w14:val="bg1"/>
            </w14:solidFill>
          </w14:textFill>
        </w:rPr>
        <w:t>DOMAINE 10 : STOCKAGE DE L’ENERGIE</w:t>
      </w:r>
      <w:bookmarkEnd w:id="13"/>
    </w:p>
    <w:p>
      <w:pPr>
        <w:spacing w:after="0"/>
        <w:jc w:val="both"/>
        <w:rPr>
          <w:rFonts w:ascii="Garamond" w:hAnsi="Garamond" w:eastAsia="Calibri" w:cs="Arial"/>
          <w:b/>
          <w:bCs/>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(Axe unique) : différents types de stockage de l'énergie</w:t>
      </w:r>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 xml:space="preserve">Les énergies renouvelables étant intermittentes, des systèmes de stockage pour stocker le surplus d’énergie générée lorsque la demande est faible et faire face à la demande, lorsque le système n’est pas productif (en l’absence de soleil ou de vent). Différents systèmes de stockage sont utilisés parmi lesquels sont cités : les systèmes inertiels, les systèmes à hydrogène, les systèmes électromagnétiques ou les batteries électrochimiques. Mais avec l’augmentation du taux de pénétration des énergies renouvelables dans le réseau de distribution d’électricité, de nombreux travaux sont consacrés au développement de nouveaux systèmes de stockage, systèmes qui varient selon la taille de la centrale. </w:t>
      </w:r>
    </w:p>
    <w:p>
      <w:pPr>
        <w:spacing w:after="0"/>
        <w:jc w:val="both"/>
        <w:rPr>
          <w:rFonts w:ascii="Garamond" w:hAnsi="Garamond" w:eastAsia="Calibri" w:cs="Arial"/>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Parmi les questions posées : quelles sont les technologies les plus prometteuses et quel serait le système le plus économique ?</w:t>
      </w:r>
    </w:p>
    <w:p>
      <w:pPr>
        <w:spacing w:after="0"/>
        <w:jc w:val="both"/>
        <w:rPr>
          <w:rFonts w:ascii="Garamond" w:hAnsi="Garamond" w:eastAsia="Calibri" w:cs="Arial"/>
          <w:sz w:val="28"/>
          <w:szCs w:val="28"/>
        </w:rPr>
      </w:pPr>
      <w:r>
        <w:rPr>
          <w:rFonts w:ascii="Garamond" w:hAnsi="Garamond" w:eastAsia="Calibri" w:cs="Arial"/>
          <w:sz w:val="28"/>
          <w:szCs w:val="28"/>
        </w:rPr>
        <w:t xml:space="preserve"> Dans ce contexte, </w:t>
      </w:r>
      <w:r>
        <w:rPr>
          <w:rFonts w:ascii="Garamond" w:hAnsi="Garamond" w:eastAsia="Calibri" w:cs="Arial"/>
          <w:b/>
          <w:bCs/>
          <w:sz w:val="28"/>
          <w:szCs w:val="28"/>
        </w:rPr>
        <w:t>les thèmes de recherche</w:t>
      </w:r>
      <w:r>
        <w:rPr>
          <w:rFonts w:ascii="Garamond" w:hAnsi="Garamond" w:eastAsia="Calibri" w:cs="Arial"/>
          <w:sz w:val="28"/>
          <w:szCs w:val="28"/>
        </w:rPr>
        <w:t xml:space="preserve"> développés pour ce domaine de recherche portent sur le stockage électrique à grande et petite échelles, le stockage thermique et le multi-stockage.</w:t>
      </w:r>
    </w:p>
    <w:p>
      <w:pPr>
        <w:spacing w:after="0"/>
        <w:jc w:val="both"/>
        <w:rPr>
          <w:rFonts w:ascii="Garamond" w:hAnsi="Garamond" w:eastAsia="Calibri" w:cs="Arial"/>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953735" w:themeColor="accent2" w:themeShade="BF"/>
          <w:sz w:val="28"/>
          <w:szCs w:val="28"/>
        </w:rPr>
        <w:t xml:space="preserve"> </w:t>
      </w:r>
      <w:r>
        <w:rPr>
          <w:rFonts w:ascii="Garamond" w:hAnsi="Garamond" w:eastAsia="Calibri" w:cs="Arial"/>
          <w:sz w:val="28"/>
          <w:szCs w:val="28"/>
        </w:rPr>
        <w:t>Stockage électrochimique (piles, batteries, vecteur hydrogène,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 xml:space="preserve">Stockage électromagnétique (bobines supraconductrices, super condensateur),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Stockage mécanique (Stockage d’énergie par air comprimé, volants d’inertie,….),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hAnsi="Garamond" w:eastAsia="Calibri" w:cs="Arial"/>
          <w:sz w:val="28"/>
          <w:szCs w:val="28"/>
        </w:rPr>
        <w:t>Stockage thermique (chaleur latente ou sensible),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hAnsi="Garamond" w:eastAsia="Calibri" w:cs="Arial"/>
          <w:sz w:val="28"/>
          <w:szCs w:val="28"/>
        </w:rPr>
        <w:t>Multi-stockage.</w:t>
      </w:r>
    </w:p>
    <w:p>
      <w:pPr>
        <w:pStyle w:val="11"/>
        <w:spacing w:line="276" w:lineRule="auto"/>
        <w:ind w:left="720"/>
        <w:jc w:val="both"/>
        <w:rPr>
          <w:rFonts w:ascii="Garamond" w:hAnsi="Garamond" w:eastAsia="Arial Unicode MS"/>
          <w:sz w:val="28"/>
          <w:szCs w:val="28"/>
          <w:lang w:eastAsia="en-US"/>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4" w:name="_Toc70942462"/>
      <w:r>
        <w:rPr>
          <w:rFonts w:ascii="Garamond" w:hAnsi="Garamond" w:eastAsia="Calibri"/>
          <w:color w:val="FFFFFF" w:themeColor="background1"/>
          <w:sz w:val="36"/>
          <w:szCs w:val="36"/>
          <w14:textFill>
            <w14:solidFill>
              <w14:schemeClr w14:val="bg1"/>
            </w14:solidFill>
          </w14:textFill>
        </w:rPr>
        <w:t>DOMAINE 11 : ENERGIE GEOTHERMIQUE</w:t>
      </w:r>
      <w:bookmarkEnd w:id="14"/>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La recherche/développement visée ici concerne l’exploitation de l’énergie géothermique pour le chauffage des serres agricoles, pour le séchage et pour le chauffage des locaux ainsi que la gestion des sources géothermiques et l’impact de leur exploitation sur l’environnement. Les thèmes de recherche à développer porteront donc sur les études de concepts et techniques d’exploitation, l’hydrothermalisme et les aspects environnements liés à la surexploitation des sources.</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 xml:space="preserve">Axe 1: Gestion et impacts environnementaux </w:t>
      </w:r>
    </w:p>
    <w:p>
      <w:pPr>
        <w:spacing w:after="0"/>
        <w:jc w:val="both"/>
        <w:rPr>
          <w:rFonts w:ascii="Garamond" w:hAnsi="Garamond" w:eastAsia="Calibri" w:cs="Arial"/>
          <w:b/>
          <w:bCs/>
          <w:sz w:val="28"/>
          <w:szCs w:val="28"/>
        </w:rPr>
      </w:pPr>
    </w:p>
    <w:p>
      <w:pPr>
        <w:spacing w:after="0"/>
        <w:ind w:firstLine="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 xml:space="preserve">Hydrothermalisme et gestion des ressources géothermales, </w:t>
      </w:r>
    </w:p>
    <w:p>
      <w:pPr>
        <w:spacing w:after="0"/>
        <w:ind w:firstLine="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Surexploitation des sources géothermiques et impact sur l'environnement.</w:t>
      </w:r>
    </w:p>
    <w:p>
      <w:pPr>
        <w:spacing w:after="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Concepts et techniques d'exploitation et applications géothermiques</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Chauffage des serres agricoles, séchage, etc.</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Chauffage et climatisation des locaux,</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Centrales géothermiques (étude de faisabilité, dimensionnement, etc.).</w:t>
      </w:r>
    </w:p>
    <w:p>
      <w:pPr>
        <w:pStyle w:val="11"/>
        <w:spacing w:line="276" w:lineRule="auto"/>
        <w:ind w:left="720"/>
        <w:jc w:val="both"/>
        <w:rPr>
          <w:rFonts w:ascii="Garamond" w:hAnsi="Garamond" w:eastAsia="Arial Unicode MS"/>
          <w:sz w:val="28"/>
          <w:szCs w:val="28"/>
          <w:lang w:eastAsia="en-US"/>
        </w:rPr>
      </w:pPr>
    </w:p>
    <w:p>
      <w:pPr>
        <w:rPr>
          <w:rFonts w:ascii="Garamond" w:hAnsi="Garamond" w:eastAsia="Calibri" w:cs="Arial"/>
          <w:b/>
          <w:bCs/>
          <w:sz w:val="28"/>
          <w:szCs w:val="28"/>
        </w:rPr>
      </w:pPr>
      <w:r>
        <w:rPr>
          <w:rFonts w:ascii="Garamond" w:hAnsi="Garamond" w:eastAsia="Calibri" w:cs="Arial"/>
          <w:b/>
          <w:bCs/>
          <w:sz w:val="28"/>
          <w:szCs w:val="28"/>
        </w:rPr>
        <w:br w:type="page"/>
      </w: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5" w:name="_Toc70942463"/>
      <w:r>
        <w:rPr>
          <w:rFonts w:ascii="Garamond" w:hAnsi="Garamond" w:eastAsia="Calibri"/>
          <w:color w:val="FFFFFF" w:themeColor="background1"/>
          <w:sz w:val="36"/>
          <w:szCs w:val="36"/>
          <w14:textFill>
            <w14:solidFill>
              <w14:schemeClr w14:val="bg1"/>
            </w14:solidFill>
          </w14:textFill>
        </w:rPr>
        <w:t>DOMAINE 12 : BIOENERGIE</w:t>
      </w:r>
      <w:bookmarkEnd w:id="15"/>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La bioénergie est produite à partir de la biomasse et de certains déchets, sous forme de carburants propres ou sous forme de chaleur ou d’électricité issues de la gazéification, de la pyrolyse ou de la combustion de la biomasse. Les thèmes de recherche à développer porteront sur les technologies de production de bioénergie, le choix des matières premières, les différentes techniques de traitement et valorisation des déchets ainsi que les aspects liés à la sécurité.</w:t>
      </w:r>
    </w:p>
    <w:p>
      <w:pPr>
        <w:spacing w:after="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Bioénergie : matières premières, évaluation et Exploitation</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953735" w:themeColor="accent2" w:themeShade="BF"/>
          <w:sz w:val="28"/>
          <w:szCs w:val="28"/>
        </w:rPr>
        <w:t xml:space="preserve"> </w:t>
      </w:r>
      <w:r>
        <w:rPr>
          <w:rFonts w:ascii="Garamond" w:hAnsi="Garamond" w:eastAsia="Calibri" w:cs="Arial"/>
          <w:sz w:val="28"/>
          <w:szCs w:val="28"/>
        </w:rPr>
        <w:t xml:space="preserve">Technologies de production de bioénergie,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 xml:space="preserve">Analyse de la durabilité de la filière (matières premières, process, …),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Choix des matières premières en adéquation avec l’environnement local.</w:t>
      </w:r>
    </w:p>
    <w:p>
      <w:pPr>
        <w:spacing w:after="0"/>
        <w:ind w:left="284"/>
        <w:jc w:val="both"/>
        <w:rPr>
          <w:rFonts w:ascii="Garamond" w:hAnsi="Garamond" w:eastAsia="Calibri" w:cs="Arial"/>
          <w:sz w:val="28"/>
          <w:szCs w:val="28"/>
        </w:rPr>
      </w:pPr>
    </w:p>
    <w:p>
      <w:pPr>
        <w:spacing w:after="0"/>
        <w:jc w:val="both"/>
        <w:rPr>
          <w:rFonts w:ascii="Garamond" w:hAnsi="Garamond"/>
          <w:b/>
          <w:bCs/>
          <w:color w:val="008037"/>
          <w:sz w:val="32"/>
          <w:szCs w:val="32"/>
        </w:rPr>
      </w:pPr>
      <w:r>
        <w:rPr>
          <w:rFonts w:ascii="Garamond" w:hAnsi="Garamond" w:eastAsia="Calibri" w:cs="Arial"/>
          <w:b/>
          <w:bCs/>
          <w:color w:val="008037"/>
          <w:sz w:val="32"/>
          <w:szCs w:val="32"/>
        </w:rPr>
        <w:t>Axe 2 : Traitement et valorisation énergétique des déchets</w:t>
      </w:r>
    </w:p>
    <w:p>
      <w:pPr>
        <w:spacing w:after="0"/>
        <w:jc w:val="both"/>
        <w:rPr>
          <w:rFonts w:ascii="Garamond" w:hAnsi="Garamond"/>
          <w:b/>
          <w:bCs/>
          <w:sz w:val="28"/>
          <w:szCs w:val="28"/>
        </w:rPr>
      </w:pP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sz w:val="28"/>
          <w:szCs w:val="28"/>
        </w:rPr>
        <w:t xml:space="preserve"> </w:t>
      </w:r>
      <w:r>
        <w:rPr>
          <w:rFonts w:ascii="Garamond" w:hAnsi="Garamond" w:eastAsia="Calibri" w:cs="Arial"/>
          <w:sz w:val="28"/>
          <w:szCs w:val="28"/>
        </w:rPr>
        <w:t>Production du biogaz,</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sz w:val="28"/>
          <w:szCs w:val="28"/>
        </w:rPr>
        <w:t xml:space="preserve"> </w:t>
      </w:r>
      <w:r>
        <w:rPr>
          <w:rFonts w:ascii="Garamond" w:hAnsi="Garamond" w:eastAsia="Calibri" w:cs="Arial"/>
          <w:sz w:val="28"/>
          <w:szCs w:val="28"/>
        </w:rPr>
        <w:t xml:space="preserve">Valorisation du biogaz, </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Chaleur,</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Electricité,</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Carburant,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sz w:val="28"/>
          <w:szCs w:val="28"/>
        </w:rPr>
        <w:t xml:space="preserve"> </w:t>
      </w:r>
      <w:r>
        <w:rPr>
          <w:rFonts w:ascii="Garamond" w:hAnsi="Garamond" w:eastAsia="Calibri" w:cs="Arial"/>
          <w:sz w:val="28"/>
          <w:szCs w:val="28"/>
        </w:rPr>
        <w:t>Epuration du biogaz,</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sz w:val="28"/>
          <w:szCs w:val="28"/>
        </w:rPr>
        <w:t xml:space="preserve"> </w:t>
      </w:r>
      <w:r>
        <w:rPr>
          <w:rFonts w:ascii="Garamond" w:hAnsi="Garamond" w:eastAsia="Calibri" w:cs="Arial"/>
          <w:sz w:val="28"/>
          <w:szCs w:val="28"/>
        </w:rPr>
        <w:t>Sécurité des procédés employés,</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sz w:val="28"/>
          <w:szCs w:val="28"/>
        </w:rPr>
        <w:t xml:space="preserve"> </w:t>
      </w:r>
      <w:r>
        <w:rPr>
          <w:rFonts w:ascii="Garamond" w:hAnsi="Garamond" w:eastAsia="Calibri" w:cs="Arial"/>
          <w:sz w:val="28"/>
          <w:szCs w:val="28"/>
        </w:rPr>
        <w:t>Impacts sur l’environnement,</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sz w:val="28"/>
          <w:szCs w:val="28"/>
        </w:rPr>
        <w:t xml:space="preserve"> </w:t>
      </w:r>
      <w:r>
        <w:rPr>
          <w:rFonts w:ascii="Garamond" w:hAnsi="Garamond" w:eastAsia="Calibri" w:cs="Arial"/>
          <w:sz w:val="28"/>
          <w:szCs w:val="28"/>
        </w:rPr>
        <w:t>Valorisation des sous-produits issus de la production de biogaz,</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7 :</w:t>
      </w:r>
      <w:r>
        <w:rPr>
          <w:rFonts w:ascii="Garamond" w:hAnsi="Garamond"/>
          <w:b/>
          <w:bCs/>
          <w:sz w:val="28"/>
          <w:szCs w:val="28"/>
        </w:rPr>
        <w:t xml:space="preserve"> </w:t>
      </w:r>
      <w:r>
        <w:rPr>
          <w:rFonts w:ascii="Garamond" w:hAnsi="Garamond" w:eastAsia="Calibri" w:cs="Arial"/>
          <w:sz w:val="28"/>
          <w:szCs w:val="28"/>
        </w:rPr>
        <w:t>Utilisation des énergies renouvelables dans les procédés liés à l’exploitation de la bioénergie (Extraction, distillation….).</w:t>
      </w:r>
    </w:p>
    <w:p>
      <w:pPr>
        <w:pStyle w:val="11"/>
        <w:spacing w:line="276" w:lineRule="auto"/>
        <w:ind w:left="720"/>
        <w:jc w:val="both"/>
        <w:rPr>
          <w:rFonts w:ascii="Garamond" w:hAnsi="Garamond" w:eastAsia="Arial Unicode MS"/>
          <w:sz w:val="28"/>
          <w:szCs w:val="28"/>
          <w:lang w:eastAsia="en-US"/>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6" w:name="_Toc70942464"/>
      <w:r>
        <w:rPr>
          <w:rFonts w:ascii="Garamond" w:hAnsi="Garamond" w:eastAsia="Calibri"/>
          <w:color w:val="FFFFFF" w:themeColor="background1"/>
          <w:sz w:val="36"/>
          <w:szCs w:val="36"/>
          <w14:textFill>
            <w14:solidFill>
              <w14:schemeClr w14:val="bg1"/>
            </w14:solidFill>
          </w14:textFill>
        </w:rPr>
        <w:t>DOMAINE 13 : HYDROGENE ET PILES A COMBUSTIBLES</w:t>
      </w:r>
      <w:bookmarkEnd w:id="16"/>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D’un point de vue vecteur énergétique, l’hydrogène présente de nombreux avantages. Sa densité massique énergétique est supérieure à celle des hydrocarbures, son utilisation produit peu ou pas de polluants et il peut être converti en différentes formes d’énergie utile (combustion, vapeur, chaleur, électricité par conversion électrochimique, …). La recherche/développement dans ce domaine vise la maîtrise et la promotion des technologies de l’hydrogène et des systèmes de conversion énergétique. Les thèmes de recherche portent sur les procédés de production de l’hydrogène, les technologies de stockages, la technologie des piles à combustibles, les applications stationnaires et mobiles ainsi que les aspects liés à la sécurité.</w:t>
      </w:r>
    </w:p>
    <w:p>
      <w:pPr>
        <w:spacing w:after="0"/>
        <w:jc w:val="both"/>
        <w:rPr>
          <w:rFonts w:ascii="Garamond" w:hAnsi="Garamond" w:eastAsia="Calibri" w:cs="Arial"/>
          <w:sz w:val="28"/>
          <w:szCs w:val="28"/>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1 : Hydrogène</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Procédés de production par voie renouvelable,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Procédés de production par autres voies,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Mélange hydrogène / fuel conventionnel,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 xml:space="preserve">Applications stationnaires de l’hydrogène,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 xml:space="preserve">Applications mobiles de l’hydrogène,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6 :</w:t>
      </w:r>
      <w:r>
        <w:rPr>
          <w:rFonts w:ascii="Garamond" w:hAnsi="Garamond"/>
          <w:b/>
          <w:bCs/>
          <w:color w:val="008037"/>
          <w:sz w:val="28"/>
          <w:szCs w:val="28"/>
        </w:rPr>
        <w:t xml:space="preserve"> </w:t>
      </w:r>
      <w:r>
        <w:rPr>
          <w:rFonts w:ascii="Garamond" w:hAnsi="Garamond" w:eastAsia="Calibri" w:cs="Arial"/>
          <w:sz w:val="28"/>
          <w:szCs w:val="28"/>
        </w:rPr>
        <w:t xml:space="preserve">Techniques et technologies de stockage,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7 :</w:t>
      </w:r>
      <w:r>
        <w:rPr>
          <w:rFonts w:ascii="Garamond" w:hAnsi="Garamond"/>
          <w:b/>
          <w:bCs/>
          <w:color w:val="008037"/>
          <w:sz w:val="28"/>
          <w:szCs w:val="28"/>
        </w:rPr>
        <w:t xml:space="preserve"> </w:t>
      </w:r>
      <w:r>
        <w:rPr>
          <w:rFonts w:ascii="Garamond" w:hAnsi="Garamond" w:eastAsia="Calibri" w:cs="Arial"/>
          <w:sz w:val="28"/>
          <w:szCs w:val="28"/>
        </w:rPr>
        <w:t xml:space="preserve">Sécurité et régulation dans l’économie de l’hydrogène,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8 :</w:t>
      </w:r>
      <w:r>
        <w:rPr>
          <w:rFonts w:ascii="Garamond" w:hAnsi="Garamond"/>
          <w:b/>
          <w:bCs/>
          <w:color w:val="008037"/>
          <w:sz w:val="28"/>
          <w:szCs w:val="28"/>
        </w:rPr>
        <w:t xml:space="preserve"> </w:t>
      </w:r>
      <w:r>
        <w:rPr>
          <w:rFonts w:ascii="Garamond" w:hAnsi="Garamond" w:eastAsia="Calibri" w:cs="Arial"/>
          <w:sz w:val="28"/>
          <w:szCs w:val="28"/>
        </w:rPr>
        <w:t xml:space="preserve">Codes et standards dans l’économie de l’hydrogène. </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Piles à combustibles</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Pile à combustible modélisation et simulation,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Technologies des piles à combustible,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 xml:space="preserve">Pile à combustible et applications mobiles,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4 :</w:t>
      </w:r>
      <w:r>
        <w:rPr>
          <w:rFonts w:ascii="Garamond" w:hAnsi="Garamond"/>
          <w:b/>
          <w:bCs/>
          <w:color w:val="008037"/>
          <w:sz w:val="28"/>
          <w:szCs w:val="28"/>
        </w:rPr>
        <w:t xml:space="preserve"> </w:t>
      </w:r>
      <w:r>
        <w:rPr>
          <w:rFonts w:ascii="Garamond" w:hAnsi="Garamond" w:eastAsia="Calibri" w:cs="Arial"/>
          <w:sz w:val="28"/>
          <w:szCs w:val="28"/>
        </w:rPr>
        <w:t xml:space="preserve">Pile à combustible et applications stationnaires,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5 :</w:t>
      </w:r>
      <w:r>
        <w:rPr>
          <w:rFonts w:ascii="Garamond" w:hAnsi="Garamond"/>
          <w:b/>
          <w:bCs/>
          <w:color w:val="008037"/>
          <w:sz w:val="28"/>
          <w:szCs w:val="28"/>
        </w:rPr>
        <w:t xml:space="preserve"> </w:t>
      </w:r>
      <w:r>
        <w:rPr>
          <w:rFonts w:ascii="Garamond" w:hAnsi="Garamond" w:eastAsia="Calibri" w:cs="Arial"/>
          <w:sz w:val="28"/>
          <w:szCs w:val="28"/>
        </w:rPr>
        <w:t>Pile à combustible : sécurité, codes et standards.</w:t>
      </w:r>
    </w:p>
    <w:p>
      <w:pPr>
        <w:spacing w:after="0"/>
        <w:jc w:val="both"/>
        <w:rPr>
          <w:rFonts w:ascii="Garamond" w:hAnsi="Garamond" w:eastAsia="Calibri" w:cs="Arial"/>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spacing w:after="0"/>
        <w:jc w:val="both"/>
        <w:rPr>
          <w:rFonts w:ascii="Garamond" w:hAnsi="Garamond" w:eastAsia="Calibri" w:cs="Arial"/>
          <w:b/>
          <w:bCs/>
          <w:sz w:val="28"/>
          <w:szCs w:val="28"/>
        </w:rPr>
      </w:pPr>
    </w:p>
    <w:p>
      <w:pPr>
        <w:pStyle w:val="3"/>
        <w:shd w:val="clear" w:color="auto" w:fill="008037"/>
        <w:jc w:val="center"/>
        <w:rPr>
          <w:rFonts w:ascii="Garamond" w:hAnsi="Garamond" w:eastAsia="Calibri"/>
          <w:color w:val="FFFFFF" w:themeColor="background1"/>
          <w:sz w:val="36"/>
          <w:szCs w:val="36"/>
          <w14:textFill>
            <w14:solidFill>
              <w14:schemeClr w14:val="bg1"/>
            </w14:solidFill>
          </w14:textFill>
        </w:rPr>
      </w:pPr>
      <w:bookmarkStart w:id="17" w:name="_Toc70942465"/>
      <w:r>
        <w:rPr>
          <w:rFonts w:ascii="Garamond" w:hAnsi="Garamond" w:eastAsia="Calibri"/>
          <w:color w:val="FFFFFF" w:themeColor="background1"/>
          <w:sz w:val="36"/>
          <w:szCs w:val="36"/>
          <w14:textFill>
            <w14:solidFill>
              <w14:schemeClr w14:val="bg1"/>
            </w14:solidFill>
          </w14:textFill>
        </w:rPr>
        <w:t>DOMAINE 14 : MATERIAUX</w:t>
      </w:r>
      <w:bookmarkEnd w:id="17"/>
    </w:p>
    <w:p>
      <w:pPr>
        <w:spacing w:after="0"/>
        <w:jc w:val="both"/>
        <w:rPr>
          <w:rFonts w:ascii="Garamond" w:hAnsi="Garamond" w:eastAsia="Calibri" w:cs="Arial"/>
          <w:b/>
          <w:bCs/>
          <w:sz w:val="28"/>
          <w:szCs w:val="28"/>
        </w:rPr>
      </w:pPr>
    </w:p>
    <w:p>
      <w:pPr>
        <w:spacing w:after="0"/>
        <w:jc w:val="both"/>
        <w:rPr>
          <w:rFonts w:ascii="Garamond" w:hAnsi="Garamond" w:eastAsia="Calibri" w:cs="Arial"/>
          <w:sz w:val="28"/>
          <w:szCs w:val="28"/>
        </w:rPr>
      </w:pPr>
      <w:r>
        <w:rPr>
          <w:rFonts w:ascii="Garamond" w:hAnsi="Garamond" w:eastAsia="Calibri" w:cs="Arial"/>
          <w:sz w:val="28"/>
          <w:szCs w:val="28"/>
        </w:rPr>
        <w:t>Le programme de développement des énergies renouvelables en Algérie prévoit également de lancer l'industrialisation de certains éléments ou composants de systèmes EnR tels que les panneaux solaires ou les pales d'aérogénérateurs. La recherche/développement visée ici concerne les matériaux entrant dans leur fabrication. Les thèmes de recherche portent sur les matériaux solaires photovoltaïques, leur recyclage, les matériaux solaires thermiques, les matériaux isolants, les matériaux pour piles à combustibles et les matériaux destinés au stockage thermique, électrochimique et au stockage d’hydrogène.</w:t>
      </w:r>
    </w:p>
    <w:p>
      <w:pPr>
        <w:spacing w:after="0"/>
        <w:jc w:val="both"/>
        <w:rPr>
          <w:rFonts w:ascii="Garamond" w:hAnsi="Garamond" w:eastAsia="Calibri" w:cs="Arial"/>
          <w:sz w:val="28"/>
          <w:szCs w:val="28"/>
        </w:rPr>
      </w:pPr>
    </w:p>
    <w:p>
      <w:pPr>
        <w:spacing w:after="0"/>
        <w:jc w:val="both"/>
        <w:rPr>
          <w:rFonts w:ascii="Garamond" w:hAnsi="Garamond" w:eastAsia="Calibri" w:cs="Arial"/>
          <w:b/>
          <w:bCs/>
          <w:color w:val="008037"/>
          <w:sz w:val="36"/>
          <w:szCs w:val="36"/>
        </w:rPr>
      </w:pPr>
      <w:r>
        <w:rPr>
          <w:rFonts w:ascii="Garamond" w:hAnsi="Garamond" w:eastAsia="Calibri" w:cs="Arial"/>
          <w:b/>
          <w:bCs/>
          <w:color w:val="008037"/>
          <w:sz w:val="36"/>
          <w:szCs w:val="36"/>
        </w:rPr>
        <w:t>Axe 1 : Matériaux de stockage</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Matériaux destinés au stockage d'hydrogène,</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Matériaux de stockage thermique :</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Matériaux à changements de phase (revêtements MCP,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Stockage électrochimique</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Recyclage des batteries électrochimiques,</w:t>
      </w:r>
    </w:p>
    <w:p>
      <w:pPr>
        <w:pStyle w:val="18"/>
        <w:numPr>
          <w:ilvl w:val="0"/>
          <w:numId w:val="6"/>
        </w:numPr>
        <w:spacing w:after="0"/>
        <w:jc w:val="both"/>
        <w:rPr>
          <w:rFonts w:ascii="Garamond" w:hAnsi="Garamond" w:eastAsia="Calibri" w:cs="Arial"/>
          <w:sz w:val="28"/>
          <w:szCs w:val="28"/>
        </w:rPr>
      </w:pPr>
      <w:r>
        <w:rPr>
          <w:rFonts w:ascii="Garamond" w:hAnsi="Garamond" w:eastAsia="Calibri" w:cs="Arial"/>
          <w:sz w:val="28"/>
          <w:szCs w:val="28"/>
        </w:rPr>
        <w:t>Matériaux de stockage électrochimique.</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2 : Matériaux PV</w:t>
      </w:r>
    </w:p>
    <w:p>
      <w:pPr>
        <w:spacing w:after="0"/>
        <w:jc w:val="both"/>
        <w:rPr>
          <w:rFonts w:ascii="Garamond" w:hAnsi="Garamond" w:eastAsia="Calibri" w:cs="Arial"/>
          <w:sz w:val="28"/>
          <w:szCs w:val="28"/>
          <w:u w:val="single"/>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 xml:space="preserve">Matériaux photovoltaïques (cristallogène, filière cristalline et en couches minces des matériaux classiques et nouveaux,…),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Matières premières destinées à la production de cellules PV (silicium, …), </w:t>
      </w: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3 :</w:t>
      </w:r>
      <w:r>
        <w:rPr>
          <w:rFonts w:ascii="Garamond" w:hAnsi="Garamond"/>
          <w:b/>
          <w:bCs/>
          <w:color w:val="008037"/>
          <w:sz w:val="28"/>
          <w:szCs w:val="28"/>
        </w:rPr>
        <w:t xml:space="preserve"> </w:t>
      </w:r>
      <w:r>
        <w:rPr>
          <w:rFonts w:ascii="Garamond" w:hAnsi="Garamond" w:eastAsia="Calibri" w:cs="Arial"/>
          <w:sz w:val="28"/>
          <w:szCs w:val="28"/>
        </w:rPr>
        <w:t>Recyclage des matériaux solaires.</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3 : Matériaux éoliens</w:t>
      </w:r>
    </w:p>
    <w:p>
      <w:pPr>
        <w:spacing w:after="0"/>
        <w:jc w:val="both"/>
        <w:rPr>
          <w:rFonts w:ascii="Garamond" w:hAnsi="Garamond" w:eastAsia="Calibri" w:cs="Arial"/>
          <w:b/>
          <w:bCs/>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Matériaux destinés à la fabrication des pales,</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Matériaux magnétiques.</w:t>
      </w:r>
    </w:p>
    <w:p>
      <w:pPr>
        <w:spacing w:after="0"/>
        <w:jc w:val="both"/>
        <w:rPr>
          <w:rFonts w:ascii="Garamond" w:hAnsi="Garamond" w:eastAsia="Calibri" w:cs="Arial"/>
          <w:sz w:val="28"/>
          <w:szCs w:val="28"/>
          <w:u w:val="single"/>
        </w:rPr>
      </w:pPr>
    </w:p>
    <w:p>
      <w:pPr>
        <w:spacing w:after="0"/>
        <w:jc w:val="both"/>
        <w:rPr>
          <w:rFonts w:ascii="Garamond" w:hAnsi="Garamond" w:eastAsia="Calibri" w:cs="Arial"/>
          <w:b/>
          <w:bCs/>
          <w:color w:val="008037"/>
          <w:sz w:val="32"/>
          <w:szCs w:val="32"/>
        </w:rPr>
      </w:pPr>
      <w:r>
        <w:rPr>
          <w:rFonts w:ascii="Garamond" w:hAnsi="Garamond" w:eastAsia="Calibri" w:cs="Arial"/>
          <w:b/>
          <w:bCs/>
          <w:color w:val="008037"/>
          <w:sz w:val="32"/>
          <w:szCs w:val="32"/>
        </w:rPr>
        <w:t>Axe 4 : Matériaux thermiques</w:t>
      </w:r>
    </w:p>
    <w:p>
      <w:pPr>
        <w:spacing w:after="0"/>
        <w:jc w:val="both"/>
        <w:rPr>
          <w:rFonts w:ascii="Garamond" w:hAnsi="Garamond" w:eastAsia="Calibri" w:cs="Arial"/>
          <w:b/>
          <w:bCs/>
          <w:sz w:val="28"/>
          <w:szCs w:val="28"/>
        </w:rPr>
      </w:pP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Matériaux innovants pour capteurs solaires à circulation de fluide et d'air,</w:t>
      </w:r>
    </w:p>
    <w:p>
      <w:pPr>
        <w:spacing w:after="0"/>
        <w:ind w:left="284"/>
        <w:contextualSpacing/>
        <w:jc w:val="both"/>
        <w:rPr>
          <w:rFonts w:ascii="Garamond" w:hAnsi="Garamond" w:eastAsia="Calibri" w:cs="Arial"/>
          <w:sz w:val="28"/>
          <w:szCs w:val="28"/>
        </w:rPr>
      </w:pPr>
      <w:r>
        <w:rPr>
          <w:rFonts w:ascii="Garamond" w:hAnsi="Garamond"/>
          <w:i/>
          <w:iCs/>
          <w:color w:val="008037"/>
          <w:sz w:val="28"/>
          <w:szCs w:val="28"/>
          <w:u w:val="single"/>
        </w:rPr>
        <w:t>Thème 2 :</w:t>
      </w:r>
      <w:r>
        <w:rPr>
          <w:rFonts w:ascii="Garamond" w:hAnsi="Garamond"/>
          <w:b/>
          <w:bCs/>
          <w:color w:val="008037"/>
          <w:sz w:val="28"/>
          <w:szCs w:val="28"/>
        </w:rPr>
        <w:t xml:space="preserve"> </w:t>
      </w:r>
      <w:r>
        <w:rPr>
          <w:rFonts w:ascii="Garamond" w:hAnsi="Garamond" w:eastAsia="Calibri" w:cs="Arial"/>
          <w:sz w:val="28"/>
          <w:szCs w:val="28"/>
        </w:rPr>
        <w:t xml:space="preserve">Matériaux (maçonnerie, isolants) innovants et intelligents et le savoir-faire traditionnel. </w:t>
      </w:r>
    </w:p>
    <w:p>
      <w:pPr>
        <w:spacing w:after="0"/>
        <w:jc w:val="both"/>
        <w:rPr>
          <w:rFonts w:ascii="Garamond" w:hAnsi="Garamond" w:eastAsia="Calibri" w:cs="Arial"/>
          <w:sz w:val="28"/>
          <w:szCs w:val="28"/>
          <w:u w:val="single"/>
        </w:rPr>
      </w:pPr>
    </w:p>
    <w:p>
      <w:pPr>
        <w:spacing w:after="0"/>
        <w:jc w:val="both"/>
        <w:rPr>
          <w:rFonts w:ascii="Garamond" w:hAnsi="Garamond" w:eastAsia="Calibri" w:cs="Arial"/>
          <w:color w:val="008037"/>
          <w:sz w:val="32"/>
          <w:szCs w:val="32"/>
        </w:rPr>
      </w:pPr>
      <w:r>
        <w:rPr>
          <w:rFonts w:ascii="Garamond" w:hAnsi="Garamond" w:eastAsia="Calibri" w:cs="Arial"/>
          <w:b/>
          <w:bCs/>
          <w:color w:val="008037"/>
          <w:sz w:val="32"/>
          <w:szCs w:val="32"/>
        </w:rPr>
        <w:t>Axe 5 : Matériaux hydrogène et pile à combustibles</w:t>
      </w:r>
    </w:p>
    <w:p>
      <w:pPr>
        <w:spacing w:after="0"/>
        <w:jc w:val="both"/>
        <w:rPr>
          <w:rFonts w:ascii="Garamond" w:hAnsi="Garamond" w:eastAsia="Calibri" w:cs="Arial"/>
          <w:sz w:val="28"/>
          <w:szCs w:val="28"/>
        </w:rPr>
      </w:pPr>
    </w:p>
    <w:p>
      <w:pPr>
        <w:spacing w:after="0"/>
        <w:ind w:left="284"/>
        <w:jc w:val="both"/>
        <w:rPr>
          <w:rFonts w:ascii="Garamond" w:hAnsi="Garamond" w:eastAsia="Calibri" w:cs="Arial"/>
          <w:sz w:val="28"/>
          <w:szCs w:val="28"/>
        </w:rPr>
      </w:pPr>
      <w:r>
        <w:rPr>
          <w:rFonts w:ascii="Garamond" w:hAnsi="Garamond"/>
          <w:i/>
          <w:iCs/>
          <w:color w:val="008037"/>
          <w:sz w:val="28"/>
          <w:szCs w:val="28"/>
          <w:u w:val="single"/>
        </w:rPr>
        <w:t>Thème 1 :</w:t>
      </w:r>
      <w:r>
        <w:rPr>
          <w:rFonts w:ascii="Garamond" w:hAnsi="Garamond"/>
          <w:b/>
          <w:bCs/>
          <w:color w:val="008037"/>
          <w:sz w:val="28"/>
          <w:szCs w:val="28"/>
        </w:rPr>
        <w:t xml:space="preserve"> </w:t>
      </w:r>
      <w:r>
        <w:rPr>
          <w:rFonts w:ascii="Garamond" w:hAnsi="Garamond" w:eastAsia="Calibri" w:cs="Arial"/>
          <w:sz w:val="28"/>
          <w:szCs w:val="28"/>
        </w:rPr>
        <w:t>Matériaux pour pile à combustible.</w:t>
      </w: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pStyle w:val="11"/>
        <w:spacing w:line="276" w:lineRule="auto"/>
        <w:ind w:left="720"/>
        <w:jc w:val="both"/>
        <w:rPr>
          <w:rFonts w:ascii="Garamond" w:hAnsi="Garamond" w:eastAsia="Arial Unicode MS"/>
          <w:sz w:val="28"/>
          <w:szCs w:val="28"/>
          <w:lang w:eastAsia="en-US"/>
        </w:rPr>
      </w:pPr>
    </w:p>
    <w:p>
      <w:pPr>
        <w:jc w:val="center"/>
        <w:rPr>
          <w:rFonts w:ascii="Garamond" w:hAnsi="Garamond"/>
          <w:b/>
          <w:sz w:val="28"/>
          <w:szCs w:val="28"/>
        </w:rPr>
      </w:pPr>
      <w:r>
        <w:rPr>
          <w:rFonts w:ascii="Garamond" w:hAnsi="Garamond"/>
          <w:b/>
          <w:sz w:val="28"/>
          <w:szCs w:val="28"/>
        </w:rPr>
        <w:br w:type="page"/>
      </w: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sz w:val="28"/>
          <w:szCs w:val="28"/>
        </w:rPr>
      </w:pPr>
    </w:p>
    <w:p>
      <w:pPr>
        <w:jc w:val="center"/>
        <w:rPr>
          <w:rFonts w:ascii="Garamond" w:hAnsi="Garamond"/>
          <w:b/>
          <w:color w:val="008037"/>
          <w:sz w:val="28"/>
          <w:szCs w:val="28"/>
        </w:rPr>
      </w:pPr>
      <w:r>
        <w:rPr>
          <w:rFonts w:ascii="Garamond" w:hAnsi="Garamond"/>
          <w:b/>
          <w:color w:val="008037"/>
          <w:sz w:val="72"/>
          <w:szCs w:val="72"/>
        </w:rPr>
        <w:t>Volet« Hydrocarbures »</w:t>
      </w:r>
    </w:p>
    <w:p>
      <w:pPr>
        <w:pStyle w:val="11"/>
        <w:spacing w:line="276" w:lineRule="auto"/>
        <w:ind w:left="720"/>
        <w:jc w:val="both"/>
        <w:rPr>
          <w:rFonts w:ascii="Garamond" w:hAnsi="Garamond" w:eastAsia="Arial Unicode MS"/>
          <w:sz w:val="28"/>
          <w:szCs w:val="28"/>
          <w:lang w:eastAsia="en-US"/>
        </w:rPr>
      </w:pPr>
    </w:p>
    <w:p>
      <w:pPr>
        <w:rPr>
          <w:rFonts w:ascii="Garamond" w:hAnsi="Garamond" w:eastAsia="Times New Roman" w:cs="Times New Roman"/>
          <w:b/>
          <w:bCs/>
          <w:sz w:val="28"/>
          <w:szCs w:val="28"/>
          <w:lang w:eastAsia="fr-FR"/>
        </w:rPr>
      </w:pPr>
      <w:r>
        <w:rPr>
          <w:rFonts w:ascii="Garamond" w:hAnsi="Garamond"/>
          <w:b/>
          <w:bCs/>
          <w:sz w:val="28"/>
          <w:szCs w:val="28"/>
        </w:rPr>
        <w:br w:type="page"/>
      </w:r>
    </w:p>
    <w:p>
      <w:pPr>
        <w:pStyle w:val="3"/>
        <w:shd w:val="clear" w:color="auto" w:fill="008037"/>
        <w:jc w:val="center"/>
        <w:rPr>
          <w:rFonts w:ascii="Garamond" w:hAnsi="Garamond"/>
          <w:color w:val="FFFFFF" w:themeColor="background1"/>
          <w:sz w:val="36"/>
          <w:szCs w:val="36"/>
          <w14:textFill>
            <w14:solidFill>
              <w14:schemeClr w14:val="bg1"/>
            </w14:solidFill>
          </w14:textFill>
        </w:rPr>
      </w:pPr>
      <w:bookmarkStart w:id="18" w:name="_Toc70942466"/>
      <w:r>
        <w:rPr>
          <w:rFonts w:ascii="Garamond" w:hAnsi="Garamond"/>
          <w:color w:val="FFFFFF" w:themeColor="background1"/>
          <w:sz w:val="36"/>
          <w:szCs w:val="36"/>
          <w14:textFill>
            <w14:solidFill>
              <w14:schemeClr w14:val="bg1"/>
            </w14:solidFill>
          </w14:textFill>
        </w:rPr>
        <w:t xml:space="preserve">DOMAINE 15 : HYDROCARBURES D’ORIGINE CONVENTIONNELLE ET </w:t>
      </w:r>
      <w:bookmarkStart w:id="19" w:name="_Toc70942269"/>
      <w:r>
        <w:rPr>
          <w:rFonts w:ascii="Garamond" w:hAnsi="Garamond"/>
          <w:color w:val="FFFFFF" w:themeColor="background1"/>
          <w:sz w:val="36"/>
          <w:szCs w:val="36"/>
          <w14:textFill>
            <w14:solidFill>
              <w14:schemeClr w14:val="bg1"/>
            </w14:solidFill>
          </w14:textFill>
        </w:rPr>
        <w:t>NON CONVENTIONNELLE</w:t>
      </w:r>
      <w:bookmarkEnd w:id="18"/>
      <w:bookmarkEnd w:id="19"/>
    </w:p>
    <w:p>
      <w:pPr>
        <w:spacing w:after="0"/>
        <w:jc w:val="both"/>
        <w:rPr>
          <w:rFonts w:ascii="Garamond" w:hAnsi="Garamond"/>
          <w:b/>
          <w:bCs/>
          <w:color w:val="953735" w:themeColor="accent2" w:themeShade="BF"/>
          <w:sz w:val="32"/>
          <w:szCs w:val="32"/>
        </w:rPr>
      </w:pPr>
    </w:p>
    <w:p>
      <w:pPr>
        <w:spacing w:after="0"/>
        <w:jc w:val="both"/>
        <w:rPr>
          <w:rFonts w:ascii="Garamond" w:hAnsi="Garamond"/>
          <w:b/>
          <w:bCs/>
          <w:color w:val="008037"/>
          <w:sz w:val="32"/>
          <w:szCs w:val="32"/>
        </w:rPr>
      </w:pPr>
      <w:r>
        <w:rPr>
          <w:rFonts w:ascii="Garamond" w:hAnsi="Garamond"/>
          <w:b/>
          <w:bCs/>
          <w:color w:val="008037"/>
          <w:sz w:val="32"/>
          <w:szCs w:val="32"/>
        </w:rPr>
        <w:t>Axe1 : Géosciences</w:t>
      </w:r>
    </w:p>
    <w:p>
      <w:pPr>
        <w:spacing w:after="0"/>
        <w:jc w:val="both"/>
        <w:rPr>
          <w:rFonts w:ascii="Garamond" w:hAnsi="Garamond"/>
          <w:b/>
          <w:bCs/>
          <w:sz w:val="28"/>
          <w:szCs w:val="28"/>
        </w:rPr>
      </w:pPr>
      <w:r>
        <w:rPr>
          <w:rFonts w:ascii="Garamond" w:hAnsi="Garamond"/>
          <w:b/>
          <w:bCs/>
          <w:sz w:val="28"/>
          <w:szCs w:val="28"/>
        </w:rPr>
        <w:t> </w:t>
      </w:r>
    </w:p>
    <w:p>
      <w:pPr>
        <w:spacing w:after="0"/>
        <w:ind w:left="284"/>
        <w:jc w:val="both"/>
        <w:rPr>
          <w:rFonts w:ascii="Garamond" w:hAnsi="Garamond"/>
          <w:bCs/>
          <w:sz w:val="28"/>
          <w:szCs w:val="28"/>
        </w:rPr>
      </w:pPr>
      <w:r>
        <w:rPr>
          <w:rFonts w:ascii="Garamond" w:hAnsi="Garamond"/>
          <w:bCs/>
          <w:sz w:val="28"/>
          <w:szCs w:val="28"/>
        </w:rPr>
        <w:t>La géoscience par sa pluridisciplinarité permet un accès à tous les métiers des sciences de la terre, à savoir, la recherche fondamentale, l’exploration des hydrocarbures, les projets géotechniques en relation avec la géologie structurale et les projets géophysiques en relation avec la sismique. Les géosciences sont un  domaine de recherche qui se traduira par un nombre important de projets qui porteront aussi bien sur l’exploration et l’exploitation mais également sur la modélisation.</w:t>
      </w:r>
    </w:p>
    <w:p>
      <w:pPr>
        <w:spacing w:after="0"/>
        <w:jc w:val="both"/>
        <w:rPr>
          <w:rFonts w:ascii="Garamond" w:hAnsi="Garamond"/>
          <w:b/>
          <w:bCs/>
          <w:sz w:val="28"/>
          <w:szCs w:val="28"/>
        </w:rPr>
      </w:pP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Exploration, logistique et effet sur l’environnement ; </w:t>
      </w:r>
    </w:p>
    <w:p>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Caractérisation et modélisation des réservoirs ;</w:t>
      </w:r>
    </w:p>
    <w:p>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Hydrologie et hydrogéologie ; </w:t>
      </w:r>
    </w:p>
    <w:p>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Définition des systèmes pétroliers du nord de l’Algérie ;</w:t>
      </w:r>
    </w:p>
    <w:p>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 xml:space="preserve">Exploration et exploitation offshore. </w:t>
      </w:r>
    </w:p>
    <w:p>
      <w:pPr>
        <w:pStyle w:val="11"/>
        <w:spacing w:line="276" w:lineRule="auto"/>
        <w:ind w:left="360"/>
        <w:jc w:val="both"/>
        <w:rPr>
          <w:rFonts w:ascii="Garamond" w:hAnsi="Garamond" w:eastAsia="Arial Unicode MS"/>
          <w:sz w:val="28"/>
          <w:szCs w:val="28"/>
          <w:lang w:eastAsia="en-US"/>
        </w:rPr>
      </w:pPr>
    </w:p>
    <w:p>
      <w:pPr>
        <w:spacing w:after="0"/>
        <w:rPr>
          <w:rFonts w:ascii="Garamond" w:hAnsi="Garamond"/>
          <w:b/>
          <w:bCs/>
          <w:color w:val="008037"/>
          <w:sz w:val="32"/>
          <w:szCs w:val="32"/>
        </w:rPr>
      </w:pPr>
      <w:r>
        <w:rPr>
          <w:rFonts w:ascii="Garamond" w:hAnsi="Garamond"/>
          <w:b/>
          <w:bCs/>
          <w:color w:val="008037"/>
          <w:sz w:val="32"/>
          <w:szCs w:val="32"/>
        </w:rPr>
        <w:t>Axe2 : Amélioration de la récupération des hydrocarbures </w:t>
      </w:r>
    </w:p>
    <w:p>
      <w:pPr>
        <w:spacing w:after="0"/>
        <w:rPr>
          <w:rFonts w:ascii="Garamond" w:hAnsi="Garamond"/>
          <w:b/>
          <w:bCs/>
          <w:sz w:val="28"/>
          <w:szCs w:val="28"/>
        </w:rPr>
      </w:pPr>
    </w:p>
    <w:p>
      <w:pPr>
        <w:spacing w:after="0"/>
        <w:ind w:left="284"/>
        <w:jc w:val="both"/>
        <w:rPr>
          <w:rFonts w:ascii="Garamond" w:hAnsi="Garamond"/>
          <w:bCs/>
          <w:sz w:val="28"/>
          <w:szCs w:val="28"/>
        </w:rPr>
      </w:pPr>
      <w:r>
        <w:rPr>
          <w:rFonts w:ascii="Garamond" w:hAnsi="Garamond"/>
          <w:bCs/>
          <w:sz w:val="28"/>
          <w:szCs w:val="28"/>
        </w:rPr>
        <w:t>Le rapport entre le volume de pétrole récupéré et le volume total contenu dans un gisement donne le taux de récupération. Le taux de récupération varie d’un gisement à un autre. Développer des projets de recherche qui visent l’augmentation du taux de récupération serait donc un moyen d’accroître la production de manière plus rapide.</w:t>
      </w:r>
    </w:p>
    <w:p>
      <w:pPr>
        <w:spacing w:after="0"/>
        <w:jc w:val="both"/>
        <w:rPr>
          <w:rFonts w:ascii="Garamond" w:hAnsi="Garamond"/>
          <w:bCs/>
          <w:sz w:val="28"/>
          <w:szCs w:val="28"/>
        </w:rPr>
      </w:pP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Amélioration du taux de récupération du pétrole (Enhanced Oil Recovery - EOR) ; </w:t>
      </w:r>
    </w:p>
    <w:p>
      <w:pPr>
        <w:spacing w:after="0"/>
        <w:ind w:left="284"/>
        <w:jc w:val="both"/>
        <w:rPr>
          <w:rFonts w:ascii="Garamond" w:hAnsi="Garamond"/>
          <w:sz w:val="28"/>
          <w:szCs w:val="28"/>
        </w:rPr>
      </w:pPr>
      <w:r>
        <w:rPr>
          <w:rFonts w:ascii="Garamond" w:hAnsi="Garamond"/>
          <w:i/>
          <w:iCs/>
          <w:color w:val="008037"/>
          <w:sz w:val="28"/>
          <w:szCs w:val="28"/>
          <w:u w:val="single"/>
        </w:rPr>
        <w:t>Thème2 :</w:t>
      </w:r>
      <w:r>
        <w:rPr>
          <w:rFonts w:ascii="Garamond" w:hAnsi="Garamond"/>
          <w:color w:val="008037"/>
          <w:sz w:val="28"/>
          <w:szCs w:val="28"/>
        </w:rPr>
        <w:t xml:space="preserve"> </w:t>
      </w:r>
      <w:r>
        <w:rPr>
          <w:rFonts w:ascii="Garamond" w:hAnsi="Garamond"/>
          <w:sz w:val="28"/>
          <w:szCs w:val="28"/>
        </w:rPr>
        <w:t>Mécanismes de production dans les réservoirs conventionnels et non conventionnels ;</w:t>
      </w:r>
    </w:p>
    <w:p>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Caractérisation des réservoirs complexes, cas de Hassi Messaoud ;</w:t>
      </w:r>
    </w:p>
    <w:p>
      <w:pPr>
        <w:spacing w:after="0"/>
        <w:ind w:left="284"/>
        <w:jc w:val="both"/>
        <w:rPr>
          <w:rFonts w:ascii="Garamond" w:hAnsi="Garamond"/>
          <w:sz w:val="28"/>
          <w:szCs w:val="28"/>
        </w:rPr>
      </w:pPr>
      <w:r>
        <w:rPr>
          <w:rFonts w:ascii="Garamond" w:hAnsi="Garamond"/>
          <w:i/>
          <w:iCs/>
          <w:color w:val="008037"/>
          <w:sz w:val="28"/>
          <w:szCs w:val="28"/>
          <w:u w:val="single"/>
        </w:rPr>
        <w:t>Thème4 :</w:t>
      </w:r>
      <w:r>
        <w:rPr>
          <w:rFonts w:ascii="Garamond" w:hAnsi="Garamond"/>
          <w:color w:val="008037"/>
          <w:sz w:val="28"/>
          <w:szCs w:val="28"/>
        </w:rPr>
        <w:t xml:space="preserve"> </w:t>
      </w:r>
      <w:r>
        <w:rPr>
          <w:rFonts w:ascii="Garamond" w:hAnsi="Garamond"/>
          <w:sz w:val="28"/>
          <w:szCs w:val="28"/>
        </w:rPr>
        <w:t xml:space="preserve">Management des réservoirs conventionnels et non conventionnels ;           </w:t>
      </w:r>
    </w:p>
    <w:p>
      <w:pPr>
        <w:spacing w:after="0"/>
        <w:ind w:left="284"/>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 xml:space="preserve">Méthode d’évaluation des réservoirs (conventionnels et non conventionnels);  </w:t>
      </w:r>
    </w:p>
    <w:p>
      <w:pPr>
        <w:spacing w:after="0"/>
        <w:ind w:left="284"/>
        <w:rPr>
          <w:rFonts w:ascii="Garamond" w:hAnsi="Garamond"/>
          <w:sz w:val="28"/>
          <w:szCs w:val="28"/>
        </w:rPr>
      </w:pPr>
      <w:r>
        <w:rPr>
          <w:rFonts w:ascii="Garamond" w:hAnsi="Garamond"/>
          <w:i/>
          <w:iCs/>
          <w:color w:val="008037"/>
          <w:sz w:val="28"/>
          <w:szCs w:val="28"/>
          <w:u w:val="single"/>
        </w:rPr>
        <w:t>Thème 6 :</w:t>
      </w:r>
      <w:r>
        <w:rPr>
          <w:rFonts w:ascii="Garamond" w:hAnsi="Garamond"/>
          <w:color w:val="008037"/>
          <w:sz w:val="28"/>
          <w:szCs w:val="28"/>
        </w:rPr>
        <w:t xml:space="preserve"> </w:t>
      </w:r>
      <w:r>
        <w:rPr>
          <w:rFonts w:ascii="Garamond" w:hAnsi="Garamond"/>
          <w:sz w:val="28"/>
          <w:szCs w:val="28"/>
        </w:rPr>
        <w:t>Flow assurance, endommagement des réservoirs et stimulation ;</w:t>
      </w:r>
    </w:p>
    <w:p>
      <w:pPr>
        <w:spacing w:after="0"/>
        <w:ind w:left="284"/>
        <w:rPr>
          <w:rFonts w:ascii="Garamond" w:hAnsi="Garamond"/>
          <w:sz w:val="28"/>
          <w:szCs w:val="28"/>
        </w:rPr>
      </w:pPr>
      <w:r>
        <w:rPr>
          <w:rFonts w:ascii="Garamond" w:hAnsi="Garamond"/>
          <w:i/>
          <w:iCs/>
          <w:color w:val="008037"/>
          <w:sz w:val="28"/>
          <w:szCs w:val="28"/>
          <w:u w:val="single"/>
        </w:rPr>
        <w:t>Thème 7 :</w:t>
      </w:r>
      <w:r>
        <w:rPr>
          <w:rFonts w:ascii="Garamond" w:hAnsi="Garamond"/>
          <w:color w:val="008037"/>
          <w:sz w:val="28"/>
          <w:szCs w:val="28"/>
        </w:rPr>
        <w:t xml:space="preserve"> </w:t>
      </w:r>
      <w:r>
        <w:rPr>
          <w:rFonts w:ascii="Garamond" w:hAnsi="Garamond"/>
          <w:sz w:val="28"/>
          <w:szCs w:val="28"/>
        </w:rPr>
        <w:t>Monitoring des opérations de stimulation par les méthodes micro- sismiques;</w:t>
      </w:r>
    </w:p>
    <w:p>
      <w:pPr>
        <w:spacing w:after="0"/>
        <w:ind w:left="284"/>
        <w:rPr>
          <w:rFonts w:ascii="Garamond" w:hAnsi="Garamond"/>
          <w:sz w:val="28"/>
          <w:szCs w:val="28"/>
        </w:rPr>
      </w:pPr>
      <w:r>
        <w:rPr>
          <w:rFonts w:ascii="Garamond" w:hAnsi="Garamond"/>
          <w:i/>
          <w:iCs/>
          <w:color w:val="008037"/>
          <w:sz w:val="28"/>
          <w:szCs w:val="28"/>
          <w:u w:val="single"/>
        </w:rPr>
        <w:t>Thème 8 :</w:t>
      </w:r>
      <w:r>
        <w:rPr>
          <w:rFonts w:ascii="Garamond" w:hAnsi="Garamond"/>
          <w:color w:val="008037"/>
          <w:sz w:val="28"/>
          <w:szCs w:val="28"/>
        </w:rPr>
        <w:t xml:space="preserve"> </w:t>
      </w:r>
      <w:r>
        <w:rPr>
          <w:rFonts w:ascii="Garamond" w:hAnsi="Garamond"/>
          <w:sz w:val="28"/>
          <w:szCs w:val="28"/>
        </w:rPr>
        <w:t xml:space="preserve">Simulation et modélisation des écoulements polyphasiques ; </w:t>
      </w:r>
    </w:p>
    <w:p>
      <w:pPr>
        <w:spacing w:after="0"/>
        <w:ind w:left="284"/>
        <w:rPr>
          <w:rFonts w:ascii="Garamond" w:hAnsi="Garamond"/>
          <w:sz w:val="28"/>
          <w:szCs w:val="28"/>
        </w:rPr>
      </w:pPr>
      <w:r>
        <w:rPr>
          <w:rFonts w:ascii="Garamond" w:hAnsi="Garamond"/>
          <w:i/>
          <w:iCs/>
          <w:color w:val="008037"/>
          <w:sz w:val="28"/>
          <w:szCs w:val="28"/>
          <w:u w:val="single"/>
        </w:rPr>
        <w:t>Thème 9 :</w:t>
      </w:r>
      <w:r>
        <w:rPr>
          <w:rFonts w:ascii="Garamond" w:hAnsi="Garamond"/>
          <w:color w:val="008037"/>
          <w:sz w:val="28"/>
          <w:szCs w:val="28"/>
        </w:rPr>
        <w:t xml:space="preserve"> </w:t>
      </w:r>
      <w:r>
        <w:rPr>
          <w:rFonts w:ascii="Garamond" w:hAnsi="Garamond"/>
          <w:sz w:val="28"/>
          <w:szCs w:val="28"/>
        </w:rPr>
        <w:t>Développement des techniques de mesure dans les écoulements polyphasiques.</w:t>
      </w:r>
    </w:p>
    <w:p>
      <w:pPr>
        <w:pStyle w:val="11"/>
        <w:spacing w:line="276" w:lineRule="auto"/>
        <w:ind w:left="0"/>
        <w:jc w:val="both"/>
        <w:rPr>
          <w:rFonts w:ascii="Garamond" w:hAnsi="Garamond" w:eastAsia="Arial Unicode MS"/>
          <w:sz w:val="28"/>
          <w:szCs w:val="28"/>
          <w:lang w:eastAsia="en-US"/>
        </w:rPr>
      </w:pPr>
    </w:p>
    <w:p>
      <w:pPr>
        <w:spacing w:after="0"/>
        <w:rPr>
          <w:rFonts w:ascii="Garamond" w:hAnsi="Garamond"/>
          <w:color w:val="008037"/>
          <w:sz w:val="32"/>
          <w:szCs w:val="32"/>
        </w:rPr>
      </w:pPr>
      <w:r>
        <w:rPr>
          <w:rFonts w:ascii="Garamond" w:hAnsi="Garamond"/>
          <w:b/>
          <w:bCs/>
          <w:color w:val="008037"/>
          <w:sz w:val="32"/>
          <w:szCs w:val="32"/>
        </w:rPr>
        <w:t>Axe 3 : Corrosion  et  Protection </w:t>
      </w:r>
    </w:p>
    <w:p>
      <w:pPr>
        <w:spacing w:after="0"/>
        <w:jc w:val="both"/>
        <w:rPr>
          <w:rFonts w:ascii="Garamond" w:hAnsi="Garamond"/>
          <w:sz w:val="28"/>
          <w:szCs w:val="28"/>
        </w:rPr>
      </w:pPr>
      <w:r>
        <w:rPr>
          <w:rFonts w:ascii="Garamond" w:hAnsi="Garamond"/>
          <w:sz w:val="28"/>
          <w:szCs w:val="28"/>
        </w:rPr>
        <w:t>Dans les installations pétrolières, la corrosion est un phénomène nuisible pour les équipements (réseau du transport, bacs de stockage, pompes, pipes, séparateurs). La mauvaise protection de ces équipements contre ce phénomène se traduit généralement par une diminution importante de leurs performances, d’où la nécessité de lancer des projets de recherche qui identifieront les principales actions à mettre en œuvre pour atténuer les effets de la corrosion mais proposeront également des solutions innovantes en la matière.</w:t>
      </w:r>
    </w:p>
    <w:p>
      <w:pPr>
        <w:spacing w:after="0"/>
        <w:jc w:val="both"/>
        <w:rPr>
          <w:rFonts w:ascii="Garamond" w:hAnsi="Garamond"/>
          <w:sz w:val="28"/>
          <w:szCs w:val="28"/>
        </w:rPr>
      </w:pPr>
    </w:p>
    <w:p>
      <w:pPr>
        <w:spacing w:after="0"/>
        <w:ind w:left="426"/>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Traitement et monitoring de la corrosion des pipes et réseaux de collecte ; </w:t>
      </w:r>
    </w:p>
    <w:p>
      <w:pPr>
        <w:spacing w:after="0"/>
        <w:ind w:left="426"/>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Corrosion des équipements de process ;</w:t>
      </w:r>
    </w:p>
    <w:p>
      <w:pPr>
        <w:spacing w:after="0"/>
        <w:ind w:left="426"/>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Corrosion sous calorifuge ; </w:t>
      </w:r>
    </w:p>
    <w:p>
      <w:pPr>
        <w:spacing w:after="0"/>
        <w:ind w:left="426"/>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Mécanismes de formation et actions de prévention ou d’atténuation des effets de   la  poudre noire sur les installations et les produits pétroliers et gaziers ;</w:t>
      </w:r>
    </w:p>
    <w:p>
      <w:pPr>
        <w:spacing w:after="0"/>
        <w:ind w:left="426"/>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 xml:space="preserve">Corrosion par le mercure ; </w:t>
      </w:r>
    </w:p>
    <w:p>
      <w:pPr>
        <w:spacing w:after="0"/>
        <w:ind w:left="426"/>
        <w:rPr>
          <w:rFonts w:ascii="Garamond" w:hAnsi="Garamond"/>
          <w:sz w:val="28"/>
          <w:szCs w:val="28"/>
        </w:rPr>
      </w:pPr>
      <w:r>
        <w:rPr>
          <w:rFonts w:ascii="Garamond" w:hAnsi="Garamond"/>
          <w:i/>
          <w:iCs/>
          <w:color w:val="008037"/>
          <w:sz w:val="28"/>
          <w:szCs w:val="28"/>
          <w:u w:val="single"/>
        </w:rPr>
        <w:t>Thème 6 :</w:t>
      </w:r>
      <w:r>
        <w:rPr>
          <w:rFonts w:ascii="Garamond" w:hAnsi="Garamond"/>
          <w:color w:val="008037"/>
          <w:sz w:val="28"/>
          <w:szCs w:val="28"/>
        </w:rPr>
        <w:t xml:space="preserve"> </w:t>
      </w:r>
      <w:r>
        <w:rPr>
          <w:rFonts w:ascii="Garamond" w:hAnsi="Garamond"/>
          <w:sz w:val="28"/>
          <w:szCs w:val="28"/>
        </w:rPr>
        <w:t>Inhibiteurs de corrosion ;</w:t>
      </w:r>
    </w:p>
    <w:p>
      <w:pPr>
        <w:spacing w:after="0"/>
        <w:ind w:left="426"/>
        <w:rPr>
          <w:rFonts w:ascii="Garamond" w:hAnsi="Garamond"/>
          <w:sz w:val="28"/>
          <w:szCs w:val="28"/>
        </w:rPr>
      </w:pPr>
      <w:r>
        <w:rPr>
          <w:rFonts w:ascii="Garamond" w:hAnsi="Garamond"/>
          <w:i/>
          <w:iCs/>
          <w:color w:val="008037"/>
          <w:sz w:val="28"/>
          <w:szCs w:val="28"/>
          <w:u w:val="single"/>
        </w:rPr>
        <w:t>Thème 7 :</w:t>
      </w:r>
      <w:r>
        <w:rPr>
          <w:rFonts w:ascii="Garamond" w:hAnsi="Garamond"/>
          <w:color w:val="008037"/>
          <w:sz w:val="28"/>
          <w:szCs w:val="28"/>
        </w:rPr>
        <w:t xml:space="preserve"> </w:t>
      </w:r>
      <w:r>
        <w:rPr>
          <w:rFonts w:ascii="Garamond" w:hAnsi="Garamond"/>
          <w:sz w:val="28"/>
          <w:szCs w:val="28"/>
        </w:rPr>
        <w:t xml:space="preserve">Protection anticorrosion ; </w:t>
      </w:r>
    </w:p>
    <w:p>
      <w:pPr>
        <w:spacing w:after="0"/>
        <w:ind w:left="426"/>
        <w:rPr>
          <w:rFonts w:ascii="Garamond" w:hAnsi="Garamond"/>
          <w:sz w:val="28"/>
          <w:szCs w:val="28"/>
        </w:rPr>
      </w:pPr>
      <w:r>
        <w:rPr>
          <w:rFonts w:ascii="Garamond" w:hAnsi="Garamond"/>
          <w:i/>
          <w:iCs/>
          <w:color w:val="008037"/>
          <w:sz w:val="28"/>
          <w:szCs w:val="28"/>
          <w:u w:val="single"/>
        </w:rPr>
        <w:t>Thème 8:</w:t>
      </w:r>
      <w:r>
        <w:rPr>
          <w:rFonts w:ascii="Garamond" w:hAnsi="Garamond"/>
          <w:color w:val="008037"/>
          <w:sz w:val="28"/>
          <w:szCs w:val="28"/>
        </w:rPr>
        <w:t xml:space="preserve"> </w:t>
      </w:r>
      <w:r>
        <w:rPr>
          <w:rFonts w:ascii="Garamond" w:hAnsi="Garamond"/>
          <w:sz w:val="28"/>
          <w:szCs w:val="28"/>
        </w:rPr>
        <w:t xml:space="preserve">Bio-corrosion et biocide ; </w:t>
      </w:r>
    </w:p>
    <w:p>
      <w:pPr>
        <w:spacing w:after="0"/>
        <w:ind w:left="426"/>
        <w:rPr>
          <w:rFonts w:ascii="Garamond" w:hAnsi="Garamond"/>
          <w:sz w:val="28"/>
          <w:szCs w:val="28"/>
        </w:rPr>
      </w:pPr>
      <w:r>
        <w:rPr>
          <w:rFonts w:ascii="Garamond" w:hAnsi="Garamond"/>
          <w:i/>
          <w:iCs/>
          <w:color w:val="008037"/>
          <w:sz w:val="28"/>
          <w:szCs w:val="28"/>
          <w:u w:val="single"/>
        </w:rPr>
        <w:t>Thème 9 :</w:t>
      </w:r>
      <w:r>
        <w:rPr>
          <w:rFonts w:ascii="Garamond" w:hAnsi="Garamond"/>
          <w:color w:val="008037"/>
          <w:sz w:val="28"/>
          <w:szCs w:val="28"/>
        </w:rPr>
        <w:t xml:space="preserve"> </w:t>
      </w:r>
      <w:r>
        <w:rPr>
          <w:rFonts w:ascii="Garamond" w:hAnsi="Garamond"/>
          <w:sz w:val="28"/>
          <w:szCs w:val="28"/>
        </w:rPr>
        <w:t>Inspection et contrôle des installations.</w:t>
      </w:r>
    </w:p>
    <w:p>
      <w:pPr>
        <w:pStyle w:val="11"/>
        <w:spacing w:line="276" w:lineRule="auto"/>
        <w:ind w:left="0"/>
        <w:jc w:val="both"/>
        <w:rPr>
          <w:rFonts w:ascii="Garamond" w:hAnsi="Garamond" w:eastAsia="Arial Unicode MS"/>
          <w:sz w:val="28"/>
          <w:szCs w:val="28"/>
          <w:lang w:eastAsia="en-US"/>
        </w:rPr>
      </w:pPr>
    </w:p>
    <w:p>
      <w:pPr>
        <w:spacing w:after="0"/>
        <w:rPr>
          <w:rFonts w:ascii="Garamond" w:hAnsi="Garamond"/>
          <w:b/>
          <w:bCs/>
          <w:color w:val="953735" w:themeColor="accent2" w:themeShade="BF"/>
          <w:sz w:val="32"/>
          <w:szCs w:val="32"/>
        </w:rPr>
      </w:pPr>
      <w:r>
        <w:rPr>
          <w:rFonts w:ascii="Garamond" w:hAnsi="Garamond"/>
          <w:b/>
          <w:bCs/>
          <w:color w:val="008037"/>
          <w:sz w:val="32"/>
          <w:szCs w:val="32"/>
        </w:rPr>
        <w:t>Axe 4 : Raffinage, Pétrochimie et Catalyse </w:t>
      </w:r>
    </w:p>
    <w:p>
      <w:pPr>
        <w:spacing w:after="0"/>
        <w:jc w:val="both"/>
        <w:rPr>
          <w:rFonts w:ascii="Garamond" w:hAnsi="Garamond"/>
          <w:sz w:val="28"/>
          <w:szCs w:val="28"/>
          <w:shd w:val="clear" w:color="auto" w:fill="FFFFFF"/>
        </w:rPr>
      </w:pPr>
      <w:r>
        <w:rPr>
          <w:rFonts w:ascii="Garamond" w:hAnsi="Garamond"/>
          <w:sz w:val="28"/>
          <w:szCs w:val="28"/>
          <w:shd w:val="clear" w:color="auto" w:fill="FFFFFF"/>
        </w:rPr>
        <w:t>Le raffinage du pétrole désigne l'ensemble des traitements et transformations visant à tirer du </w:t>
      </w:r>
      <w:r>
        <w:fldChar w:fldCharType="begin"/>
      </w:r>
      <w:r>
        <w:instrText xml:space="preserve"> HYPERLINK "https://fr.wikipedia.org/wiki/P%C3%A9trole" \o "Pétrole" </w:instrText>
      </w:r>
      <w:r>
        <w:fldChar w:fldCharType="separate"/>
      </w:r>
      <w:r>
        <w:rPr>
          <w:rFonts w:ascii="Garamond" w:hAnsi="Garamond"/>
          <w:sz w:val="28"/>
          <w:szCs w:val="28"/>
          <w:shd w:val="clear" w:color="auto" w:fill="FFFFFF"/>
        </w:rPr>
        <w:t>pétrole</w:t>
      </w:r>
      <w:r>
        <w:rPr>
          <w:rFonts w:ascii="Garamond" w:hAnsi="Garamond"/>
          <w:sz w:val="28"/>
          <w:szCs w:val="28"/>
          <w:shd w:val="clear" w:color="auto" w:fill="FFFFFF"/>
        </w:rPr>
        <w:fldChar w:fldCharType="end"/>
      </w:r>
      <w:r>
        <w:rPr>
          <w:rFonts w:ascii="Garamond" w:hAnsi="Garamond"/>
          <w:sz w:val="28"/>
          <w:szCs w:val="28"/>
          <w:shd w:val="clear" w:color="auto" w:fill="FFFFFF"/>
        </w:rPr>
        <w:t xml:space="preserve"> le maximum de produits à haute valeur commerciale. De par ses caractéristiques, l’industrie du raffinage est assujettie aux évolutions et mutations en termes d’offre et de demande de produits pétroliers. </w:t>
      </w:r>
    </w:p>
    <w:p>
      <w:pPr>
        <w:spacing w:after="0"/>
        <w:jc w:val="both"/>
        <w:rPr>
          <w:rFonts w:ascii="Garamond" w:hAnsi="Garamond"/>
          <w:sz w:val="28"/>
          <w:szCs w:val="28"/>
          <w:shd w:val="clear" w:color="auto" w:fill="FFFFFF"/>
        </w:rPr>
      </w:pPr>
      <w:r>
        <w:rPr>
          <w:rFonts w:ascii="Garamond" w:hAnsi="Garamond"/>
          <w:sz w:val="28"/>
          <w:szCs w:val="28"/>
          <w:shd w:val="clear" w:color="auto" w:fill="FFFFFF"/>
        </w:rPr>
        <w:t>La</w:t>
      </w:r>
      <w:r>
        <w:rPr>
          <w:rFonts w:ascii="Garamond" w:hAnsi="Garamond"/>
          <w:sz w:val="28"/>
          <w:szCs w:val="28"/>
        </w:rPr>
        <w:t> </w:t>
      </w:r>
      <w:r>
        <w:rPr>
          <w:rFonts w:ascii="Garamond" w:hAnsi="Garamond"/>
          <w:sz w:val="28"/>
          <w:szCs w:val="28"/>
          <w:shd w:val="clear" w:color="auto" w:fill="FFFFFF"/>
        </w:rPr>
        <w:t>pétrochimie</w:t>
      </w:r>
      <w:r>
        <w:rPr>
          <w:rFonts w:ascii="Garamond" w:hAnsi="Garamond"/>
          <w:sz w:val="28"/>
          <w:szCs w:val="28"/>
        </w:rPr>
        <w:t> </w:t>
      </w:r>
      <w:r>
        <w:rPr>
          <w:rFonts w:ascii="Garamond" w:hAnsi="Garamond"/>
          <w:sz w:val="28"/>
          <w:szCs w:val="28"/>
          <w:shd w:val="clear" w:color="auto" w:fill="FFFFFF"/>
        </w:rPr>
        <w:t>s'intéresse à l'utilisation des</w:t>
      </w:r>
      <w:r>
        <w:rPr>
          <w:rFonts w:ascii="Garamond" w:hAnsi="Garamond"/>
          <w:sz w:val="28"/>
          <w:szCs w:val="28"/>
        </w:rPr>
        <w:t> </w:t>
      </w:r>
      <w:r>
        <w:fldChar w:fldCharType="begin"/>
      </w:r>
      <w:r>
        <w:instrText xml:space="preserve"> HYPERLINK "https://fr.wikipedia.org/wiki/Compos%C3%A9_chimique" \o "Composé chimique" </w:instrText>
      </w:r>
      <w:r>
        <w:fldChar w:fldCharType="separate"/>
      </w:r>
      <w:r>
        <w:rPr>
          <w:rFonts w:ascii="Garamond" w:hAnsi="Garamond"/>
          <w:sz w:val="28"/>
          <w:szCs w:val="28"/>
        </w:rPr>
        <w:t>composés chimiques</w:t>
      </w:r>
      <w:r>
        <w:rPr>
          <w:rFonts w:ascii="Garamond" w:hAnsi="Garamond"/>
          <w:sz w:val="28"/>
          <w:szCs w:val="28"/>
        </w:rPr>
        <w:fldChar w:fldCharType="end"/>
      </w:r>
      <w:r>
        <w:rPr>
          <w:rFonts w:ascii="Garamond" w:hAnsi="Garamond"/>
          <w:sz w:val="28"/>
          <w:szCs w:val="28"/>
        </w:rPr>
        <w:t> </w:t>
      </w:r>
      <w:r>
        <w:rPr>
          <w:rFonts w:ascii="Garamond" w:hAnsi="Garamond"/>
          <w:sz w:val="28"/>
          <w:szCs w:val="28"/>
          <w:shd w:val="clear" w:color="auto" w:fill="FFFFFF"/>
        </w:rPr>
        <w:t>de base issus du</w:t>
      </w:r>
      <w:r>
        <w:rPr>
          <w:rFonts w:ascii="Garamond" w:hAnsi="Garamond"/>
          <w:sz w:val="28"/>
          <w:szCs w:val="28"/>
        </w:rPr>
        <w:t> </w:t>
      </w:r>
      <w:r>
        <w:fldChar w:fldCharType="begin"/>
      </w:r>
      <w:r>
        <w:instrText xml:space="preserve"> HYPERLINK "https://fr.wikipedia.org/wiki/P%C3%A9trole" \o "Pétrole" </w:instrText>
      </w:r>
      <w:r>
        <w:fldChar w:fldCharType="separate"/>
      </w:r>
      <w:r>
        <w:rPr>
          <w:rFonts w:ascii="Garamond" w:hAnsi="Garamond"/>
          <w:sz w:val="28"/>
          <w:szCs w:val="28"/>
        </w:rPr>
        <w:t>pétrole</w:t>
      </w:r>
      <w:r>
        <w:rPr>
          <w:rFonts w:ascii="Garamond" w:hAnsi="Garamond"/>
          <w:sz w:val="28"/>
          <w:szCs w:val="28"/>
        </w:rPr>
        <w:fldChar w:fldCharType="end"/>
      </w:r>
      <w:r>
        <w:rPr>
          <w:rFonts w:ascii="Garamond" w:hAnsi="Garamond"/>
          <w:sz w:val="28"/>
          <w:szCs w:val="28"/>
        </w:rPr>
        <w:t> </w:t>
      </w:r>
      <w:r>
        <w:rPr>
          <w:rFonts w:ascii="Garamond" w:hAnsi="Garamond"/>
          <w:sz w:val="28"/>
          <w:szCs w:val="28"/>
          <w:shd w:val="clear" w:color="auto" w:fill="FFFFFF"/>
        </w:rPr>
        <w:t>pour fabriquer d'autres composés synthétiques. Ces fabrications sont, en général, basées sur des </w:t>
      </w:r>
      <w:r>
        <w:fldChar w:fldCharType="begin"/>
      </w:r>
      <w:r>
        <w:instrText xml:space="preserve"> HYPERLINK "https://fr.wikipedia.org/wiki/R%C3%A9action_chimique" \o "Réaction chimique" </w:instrText>
      </w:r>
      <w:r>
        <w:fldChar w:fldCharType="separate"/>
      </w:r>
      <w:r>
        <w:rPr>
          <w:rFonts w:ascii="Garamond" w:hAnsi="Garamond"/>
          <w:sz w:val="28"/>
          <w:szCs w:val="28"/>
          <w:shd w:val="clear" w:color="auto" w:fill="FFFFFF"/>
        </w:rPr>
        <w:t>réactions chimiques</w:t>
      </w:r>
      <w:r>
        <w:rPr>
          <w:rFonts w:ascii="Garamond" w:hAnsi="Garamond"/>
          <w:sz w:val="28"/>
          <w:szCs w:val="28"/>
          <w:shd w:val="clear" w:color="auto" w:fill="FFFFFF"/>
        </w:rPr>
        <w:fldChar w:fldCharType="end"/>
      </w:r>
      <w:r>
        <w:rPr>
          <w:rFonts w:ascii="Garamond" w:hAnsi="Garamond"/>
          <w:sz w:val="28"/>
          <w:szCs w:val="28"/>
          <w:shd w:val="clear" w:color="auto" w:fill="FFFFFF"/>
        </w:rPr>
        <w:t> appropriées en présence ou non d'un</w:t>
      </w:r>
      <w:r>
        <w:rPr>
          <w:rFonts w:ascii="Garamond" w:hAnsi="Garamond"/>
          <w:sz w:val="28"/>
          <w:szCs w:val="28"/>
        </w:rPr>
        <w:t> </w:t>
      </w:r>
      <w:r>
        <w:fldChar w:fldCharType="begin"/>
      </w:r>
      <w:r>
        <w:instrText xml:space="preserve"> HYPERLINK "https://fr.wikipedia.org/wiki/Catalyseur" \o "Catalyseur" </w:instrText>
      </w:r>
      <w:r>
        <w:fldChar w:fldCharType="separate"/>
      </w:r>
      <w:r>
        <w:rPr>
          <w:rFonts w:ascii="Garamond" w:hAnsi="Garamond"/>
          <w:sz w:val="28"/>
          <w:szCs w:val="28"/>
        </w:rPr>
        <w:t>catalyseur</w:t>
      </w:r>
      <w:r>
        <w:rPr>
          <w:rFonts w:ascii="Garamond" w:hAnsi="Garamond"/>
          <w:sz w:val="28"/>
          <w:szCs w:val="28"/>
        </w:rPr>
        <w:fldChar w:fldCharType="end"/>
      </w:r>
      <w:r>
        <w:rPr>
          <w:rFonts w:ascii="Garamond" w:hAnsi="Garamond"/>
          <w:sz w:val="28"/>
          <w:szCs w:val="28"/>
          <w:shd w:val="clear" w:color="auto" w:fill="FFFFFF"/>
        </w:rPr>
        <w:t>.</w:t>
      </w: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376092" w:themeColor="accent1" w:themeShade="BF"/>
          <w:sz w:val="28"/>
          <w:szCs w:val="28"/>
        </w:rPr>
        <w:t xml:space="preserve"> </w:t>
      </w:r>
      <w:r>
        <w:rPr>
          <w:rFonts w:ascii="Garamond" w:hAnsi="Garamond"/>
          <w:sz w:val="28"/>
          <w:szCs w:val="28"/>
        </w:rPr>
        <w:t xml:space="preserve">Développement de nouveaux additifs pour les carburants ; </w:t>
      </w:r>
    </w:p>
    <w:p>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Développement de nouveaux carburants et lubrifiants ; </w:t>
      </w:r>
    </w:p>
    <w:p>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Valorisation de charges issues du pétrole ;</w:t>
      </w:r>
    </w:p>
    <w:p>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 xml:space="preserve">Exploitation et suivi des catalyseurs des unités pétrochimiques et de raffinage ; </w:t>
      </w:r>
    </w:p>
    <w:p>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Exploitation et suivi des adsorbants des unités de traitement.</w:t>
      </w:r>
    </w:p>
    <w:p>
      <w:pPr>
        <w:pStyle w:val="11"/>
        <w:spacing w:line="276" w:lineRule="auto"/>
        <w:ind w:left="360"/>
        <w:jc w:val="both"/>
        <w:rPr>
          <w:rFonts w:ascii="Garamond" w:hAnsi="Garamond" w:eastAsia="Arial Unicode MS"/>
          <w:sz w:val="28"/>
          <w:szCs w:val="28"/>
          <w:lang w:eastAsia="en-US"/>
        </w:rPr>
      </w:pPr>
    </w:p>
    <w:p>
      <w:pPr>
        <w:spacing w:after="0"/>
        <w:rPr>
          <w:rFonts w:ascii="Garamond" w:hAnsi="Garamond"/>
          <w:b/>
          <w:bCs/>
          <w:color w:val="008037"/>
          <w:sz w:val="32"/>
          <w:szCs w:val="32"/>
        </w:rPr>
      </w:pPr>
      <w:r>
        <w:rPr>
          <w:rFonts w:ascii="Garamond" w:hAnsi="Garamond"/>
          <w:b/>
          <w:bCs/>
          <w:color w:val="008037"/>
          <w:sz w:val="32"/>
          <w:szCs w:val="32"/>
        </w:rPr>
        <w:t>Axe 5: Environnement </w:t>
      </w:r>
    </w:p>
    <w:p>
      <w:pPr>
        <w:spacing w:after="0"/>
        <w:rPr>
          <w:rFonts w:ascii="Garamond" w:hAnsi="Garamond"/>
          <w:b/>
          <w:bCs/>
          <w:sz w:val="28"/>
          <w:szCs w:val="28"/>
          <w:u w:val="single"/>
        </w:rPr>
      </w:pPr>
    </w:p>
    <w:p>
      <w:pPr>
        <w:spacing w:after="0"/>
        <w:jc w:val="both"/>
        <w:rPr>
          <w:rFonts w:ascii="Garamond" w:hAnsi="Garamond"/>
          <w:sz w:val="28"/>
          <w:szCs w:val="28"/>
        </w:rPr>
      </w:pPr>
      <w:r>
        <w:rPr>
          <w:rFonts w:ascii="Garamond" w:hAnsi="Garamond"/>
          <w:sz w:val="28"/>
          <w:szCs w:val="28"/>
          <w:shd w:val="clear" w:color="auto" w:fill="FFFFFF"/>
        </w:rPr>
        <w:t>La</w:t>
      </w:r>
      <w:r>
        <w:rPr>
          <w:rStyle w:val="19"/>
          <w:rFonts w:ascii="Garamond" w:hAnsi="Garamond"/>
          <w:sz w:val="28"/>
          <w:szCs w:val="28"/>
          <w:shd w:val="clear" w:color="auto" w:fill="FFFFFF"/>
        </w:rPr>
        <w:t> </w:t>
      </w:r>
      <w:r>
        <w:rPr>
          <w:rFonts w:ascii="Garamond" w:hAnsi="Garamond"/>
          <w:sz w:val="28"/>
          <w:szCs w:val="28"/>
          <w:shd w:val="clear" w:color="auto" w:fill="FFFFFF"/>
        </w:rPr>
        <w:t>protection de l'environnement</w:t>
      </w:r>
      <w:r>
        <w:rPr>
          <w:rStyle w:val="19"/>
          <w:rFonts w:ascii="Garamond" w:hAnsi="Garamond"/>
          <w:sz w:val="28"/>
          <w:szCs w:val="28"/>
          <w:shd w:val="clear" w:color="auto" w:fill="FFFFFF"/>
        </w:rPr>
        <w:t> </w:t>
      </w:r>
      <w:r>
        <w:rPr>
          <w:rFonts w:ascii="Garamond" w:hAnsi="Garamond"/>
          <w:sz w:val="28"/>
          <w:szCs w:val="28"/>
          <w:shd w:val="clear" w:color="auto" w:fill="FFFFFF"/>
        </w:rPr>
        <w:t xml:space="preserve">consiste à prendre des mesures pour limiter ou supprimer l'impact négatif issu des activités liées aux hydrocarbures sur </w:t>
      </w:r>
      <w:r>
        <w:rPr>
          <w:rFonts w:ascii="Garamond" w:hAnsi="Garamond"/>
          <w:sz w:val="28"/>
          <w:szCs w:val="28"/>
        </w:rPr>
        <w:t>l’</w:t>
      </w:r>
      <w:r>
        <w:fldChar w:fldCharType="begin"/>
      </w:r>
      <w:r>
        <w:instrText xml:space="preserve"> HYPERLINK "https://fr.wikipedia.org/wiki/Environnement" \o "Environnement" </w:instrText>
      </w:r>
      <w:r>
        <w:fldChar w:fldCharType="separate"/>
      </w:r>
      <w:r>
        <w:rPr>
          <w:rFonts w:ascii="Garamond" w:hAnsi="Garamond"/>
          <w:sz w:val="28"/>
          <w:szCs w:val="28"/>
        </w:rPr>
        <w:t>environnement</w:t>
      </w:r>
      <w:r>
        <w:rPr>
          <w:rFonts w:ascii="Garamond" w:hAnsi="Garamond"/>
          <w:sz w:val="28"/>
          <w:szCs w:val="28"/>
        </w:rPr>
        <w:fldChar w:fldCharType="end"/>
      </w:r>
      <w:r>
        <w:rPr>
          <w:rFonts w:ascii="Garamond" w:hAnsi="Garamond"/>
          <w:sz w:val="28"/>
          <w:szCs w:val="28"/>
        </w:rPr>
        <w:t>.</w:t>
      </w:r>
    </w:p>
    <w:p>
      <w:pPr>
        <w:spacing w:after="0"/>
        <w:jc w:val="both"/>
        <w:rPr>
          <w:rFonts w:ascii="Garamond" w:hAnsi="Garamond"/>
          <w:sz w:val="28"/>
          <w:szCs w:val="28"/>
        </w:rPr>
      </w:pPr>
      <w:r>
        <w:rPr>
          <w:rFonts w:ascii="Garamond" w:hAnsi="Garamond"/>
          <w:sz w:val="28"/>
          <w:szCs w:val="28"/>
        </w:rPr>
        <w:t>Cette stratégie vise l’application du principe de précaution, l’utilisation des meilleures pratiques environnementales et le cas échéant, le rétablissement des sites en cas de préjudice. Les projets issus de ce domaine préconiseront des solutions pour la protection de l’environnement et la limitation des impacts environnementaux liés à l’industrie des hydrocarbures.</w:t>
      </w:r>
    </w:p>
    <w:p>
      <w:pPr>
        <w:spacing w:after="0"/>
        <w:jc w:val="both"/>
        <w:rPr>
          <w:rFonts w:ascii="Garamond" w:hAnsi="Garamond"/>
          <w:sz w:val="28"/>
          <w:szCs w:val="28"/>
        </w:rPr>
      </w:pP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Analyse des impacts environnementaux associés au développement des hydrocarbures ; </w:t>
      </w:r>
    </w:p>
    <w:p>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sz w:val="28"/>
          <w:szCs w:val="28"/>
        </w:rPr>
        <w:t xml:space="preserve"> Traitement et valorisation des déchets ; </w:t>
      </w:r>
    </w:p>
    <w:p>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Décontamination des sols, des eaux et des sédiments pollués par les hydrocarbures ; </w:t>
      </w:r>
    </w:p>
    <w:p>
      <w:pPr>
        <w:spacing w:after="0"/>
        <w:ind w:left="284"/>
        <w:jc w:val="both"/>
        <w:rPr>
          <w:rFonts w:ascii="Garamond" w:hAnsi="Garamond"/>
          <w:sz w:val="28"/>
          <w:szCs w:val="28"/>
        </w:rPr>
      </w:pPr>
      <w:r>
        <w:rPr>
          <w:rFonts w:ascii="Garamond" w:hAnsi="Garamond"/>
          <w:i/>
          <w:iCs/>
          <w:color w:val="008037"/>
          <w:sz w:val="28"/>
          <w:szCs w:val="28"/>
          <w:u w:val="single"/>
        </w:rPr>
        <w:t>Thème 4 :</w:t>
      </w:r>
      <w:r>
        <w:rPr>
          <w:rFonts w:ascii="Garamond" w:hAnsi="Garamond"/>
          <w:color w:val="008037"/>
          <w:sz w:val="28"/>
          <w:szCs w:val="28"/>
        </w:rPr>
        <w:t xml:space="preserve"> </w:t>
      </w:r>
      <w:r>
        <w:rPr>
          <w:rFonts w:ascii="Garamond" w:hAnsi="Garamond"/>
          <w:sz w:val="28"/>
          <w:szCs w:val="28"/>
        </w:rPr>
        <w:t>Traitement et valorisation des boues issues des bacs de stockage de  pétrole brut (oilysludge) ;</w:t>
      </w:r>
    </w:p>
    <w:p>
      <w:pPr>
        <w:spacing w:after="0"/>
        <w:ind w:left="284"/>
        <w:jc w:val="both"/>
        <w:rPr>
          <w:rFonts w:ascii="Garamond" w:hAnsi="Garamond"/>
          <w:sz w:val="28"/>
          <w:szCs w:val="28"/>
        </w:rPr>
      </w:pPr>
      <w:r>
        <w:rPr>
          <w:rFonts w:ascii="Garamond" w:hAnsi="Garamond"/>
          <w:i/>
          <w:iCs/>
          <w:color w:val="008037"/>
          <w:sz w:val="28"/>
          <w:szCs w:val="28"/>
          <w:u w:val="single"/>
        </w:rPr>
        <w:t>Thème 5 :</w:t>
      </w:r>
      <w:r>
        <w:rPr>
          <w:rFonts w:ascii="Garamond" w:hAnsi="Garamond"/>
          <w:color w:val="008037"/>
          <w:sz w:val="28"/>
          <w:szCs w:val="28"/>
        </w:rPr>
        <w:t xml:space="preserve"> </w:t>
      </w:r>
      <w:r>
        <w:rPr>
          <w:rFonts w:ascii="Garamond" w:hAnsi="Garamond"/>
          <w:sz w:val="28"/>
          <w:szCs w:val="28"/>
        </w:rPr>
        <w:t>Inventaire des émissions dues aux activités des hydrocarbures.</w:t>
      </w:r>
    </w:p>
    <w:p>
      <w:pPr>
        <w:spacing w:after="0"/>
        <w:jc w:val="both"/>
        <w:rPr>
          <w:rFonts w:ascii="Garamond" w:hAnsi="Garamond"/>
          <w:color w:val="953735" w:themeColor="accent2" w:themeShade="BF"/>
          <w:sz w:val="32"/>
          <w:szCs w:val="32"/>
        </w:rPr>
      </w:pPr>
    </w:p>
    <w:p>
      <w:pPr>
        <w:spacing w:after="0"/>
        <w:rPr>
          <w:rFonts w:ascii="Garamond" w:hAnsi="Garamond"/>
          <w:b/>
          <w:bCs/>
          <w:color w:val="008037"/>
          <w:sz w:val="32"/>
          <w:szCs w:val="32"/>
        </w:rPr>
      </w:pPr>
      <w:r>
        <w:rPr>
          <w:rFonts w:ascii="Garamond" w:hAnsi="Garamond"/>
          <w:b/>
          <w:bCs/>
          <w:color w:val="008037"/>
          <w:sz w:val="32"/>
          <w:szCs w:val="32"/>
        </w:rPr>
        <w:t>Axe 6: Problèmes  opérationnels </w:t>
      </w:r>
    </w:p>
    <w:p>
      <w:pPr>
        <w:spacing w:after="0"/>
        <w:rPr>
          <w:rFonts w:ascii="Garamond" w:hAnsi="Garamond"/>
          <w:b/>
          <w:bCs/>
          <w:sz w:val="28"/>
          <w:szCs w:val="28"/>
        </w:rPr>
      </w:pPr>
    </w:p>
    <w:p>
      <w:pPr>
        <w:spacing w:after="0"/>
        <w:ind w:left="284"/>
        <w:jc w:val="both"/>
        <w:rPr>
          <w:rFonts w:ascii="Garamond" w:hAnsi="Garamond"/>
          <w:sz w:val="28"/>
          <w:szCs w:val="28"/>
        </w:rPr>
      </w:pPr>
      <w:r>
        <w:rPr>
          <w:rFonts w:ascii="Garamond" w:hAnsi="Garamond"/>
          <w:sz w:val="28"/>
          <w:szCs w:val="28"/>
        </w:rPr>
        <w:t>Le contrôle non destructif est devenu un outil indispensable en contrôle de la qualité des produits. Ces techniques permettent de détecter les hétérogénéités et anomalies d’une pièce, sans altérer leur utilisation future.</w:t>
      </w:r>
    </w:p>
    <w:p>
      <w:pPr>
        <w:spacing w:after="0"/>
        <w:ind w:left="284"/>
        <w:jc w:val="both"/>
        <w:rPr>
          <w:rFonts w:ascii="Garamond" w:hAnsi="Garamond"/>
          <w:sz w:val="28"/>
          <w:szCs w:val="28"/>
        </w:rPr>
      </w:pP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Développement des techniques de contrôle non destructif ;</w:t>
      </w:r>
    </w:p>
    <w:p>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 xml:space="preserve">Problèmes liés à l’exploitation et au transport des hydrocarbures </w:t>
      </w:r>
    </w:p>
    <w:p>
      <w:pPr>
        <w:spacing w:after="0"/>
        <w:ind w:left="284"/>
        <w:jc w:val="both"/>
        <w:rPr>
          <w:rFonts w:ascii="Garamond" w:hAnsi="Garamond"/>
          <w:sz w:val="28"/>
          <w:szCs w:val="28"/>
        </w:rPr>
      </w:pPr>
      <w:r>
        <w:rPr>
          <w:rFonts w:ascii="Garamond" w:hAnsi="Garamond"/>
          <w:sz w:val="28"/>
          <w:szCs w:val="28"/>
        </w:rPr>
        <w:t xml:space="preserve"> (Flow assurance).</w:t>
      </w:r>
    </w:p>
    <w:p>
      <w:pPr>
        <w:pStyle w:val="11"/>
        <w:spacing w:line="276" w:lineRule="auto"/>
        <w:ind w:left="0"/>
        <w:jc w:val="both"/>
        <w:rPr>
          <w:rFonts w:ascii="Garamond" w:hAnsi="Garamond" w:eastAsia="Arial Unicode MS"/>
          <w:sz w:val="28"/>
          <w:szCs w:val="28"/>
          <w:lang w:eastAsia="en-US"/>
        </w:rPr>
      </w:pPr>
    </w:p>
    <w:p>
      <w:pPr>
        <w:spacing w:after="0"/>
        <w:rPr>
          <w:rFonts w:ascii="Garamond" w:hAnsi="Garamond"/>
          <w:b/>
          <w:bCs/>
          <w:color w:val="008037"/>
          <w:sz w:val="32"/>
          <w:szCs w:val="32"/>
        </w:rPr>
      </w:pPr>
      <w:r>
        <w:rPr>
          <w:rFonts w:ascii="Garamond" w:hAnsi="Garamond"/>
          <w:b/>
          <w:bCs/>
          <w:color w:val="008037"/>
          <w:sz w:val="32"/>
          <w:szCs w:val="32"/>
        </w:rPr>
        <w:t xml:space="preserve">Axe 7: Modélisation,  Simulation  et  Optimisation  </w:t>
      </w:r>
    </w:p>
    <w:p>
      <w:pPr>
        <w:spacing w:after="0"/>
        <w:rPr>
          <w:rFonts w:ascii="Garamond" w:hAnsi="Garamond"/>
          <w:b/>
          <w:bCs/>
          <w:sz w:val="28"/>
          <w:szCs w:val="28"/>
        </w:rPr>
      </w:pPr>
    </w:p>
    <w:p>
      <w:pPr>
        <w:spacing w:after="0"/>
        <w:ind w:left="284"/>
        <w:jc w:val="both"/>
        <w:rPr>
          <w:rFonts w:ascii="Garamond" w:hAnsi="Garamond"/>
          <w:sz w:val="28"/>
          <w:szCs w:val="28"/>
        </w:rPr>
      </w:pPr>
      <w:r>
        <w:rPr>
          <w:rFonts w:ascii="Garamond" w:hAnsi="Garamond"/>
          <w:sz w:val="28"/>
          <w:szCs w:val="28"/>
        </w:rPr>
        <w:t>Afin d’être en mesure de caractériser et de cerner les aspects liés à la transformation des hydrocarbures, la proposition et l’application de méthodes et instruments scientifiques permettront de modéliser et résoudre les problèmes d’exploitation et d’améliorer la qualité des produits.</w:t>
      </w:r>
    </w:p>
    <w:p>
      <w:pPr>
        <w:spacing w:after="0"/>
        <w:ind w:left="284"/>
        <w:jc w:val="both"/>
        <w:rPr>
          <w:rFonts w:ascii="Garamond" w:hAnsi="Garamond"/>
          <w:sz w:val="28"/>
          <w:szCs w:val="28"/>
        </w:rPr>
      </w:pPr>
    </w:p>
    <w:p>
      <w:pPr>
        <w:spacing w:after="0"/>
        <w:ind w:left="284"/>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Amélioration des caractéristiques des produits finis ;</w:t>
      </w:r>
    </w:p>
    <w:p>
      <w:pPr>
        <w:spacing w:after="0"/>
        <w:ind w:left="284"/>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Modélisation, simulation et optimisation des procédés de l’aval pétrolier et  gazier ;</w:t>
      </w:r>
    </w:p>
    <w:p>
      <w:pPr>
        <w:spacing w:after="0"/>
        <w:ind w:left="284"/>
        <w:rPr>
          <w:rFonts w:ascii="Garamond" w:hAnsi="Garamond"/>
          <w:sz w:val="28"/>
          <w:szCs w:val="28"/>
        </w:rPr>
      </w:pPr>
      <w:r>
        <w:rPr>
          <w:rFonts w:ascii="Garamond" w:hAnsi="Garamond"/>
          <w:i/>
          <w:iCs/>
          <w:color w:val="008037"/>
          <w:sz w:val="28"/>
          <w:szCs w:val="28"/>
          <w:u w:val="single"/>
        </w:rPr>
        <w:t>Thème 3:</w:t>
      </w:r>
      <w:r>
        <w:rPr>
          <w:rFonts w:ascii="Garamond" w:hAnsi="Garamond"/>
          <w:color w:val="008037"/>
          <w:sz w:val="28"/>
          <w:szCs w:val="28"/>
        </w:rPr>
        <w:t xml:space="preserve"> </w:t>
      </w:r>
      <w:r>
        <w:rPr>
          <w:rFonts w:ascii="Garamond" w:hAnsi="Garamond"/>
          <w:sz w:val="28"/>
          <w:szCs w:val="28"/>
        </w:rPr>
        <w:t>Maîtrise du choix technologique des procédés ;</w:t>
      </w:r>
    </w:p>
    <w:p>
      <w:pPr>
        <w:spacing w:after="0"/>
        <w:ind w:left="284"/>
        <w:rPr>
          <w:rFonts w:ascii="Garamond" w:hAnsi="Garamond"/>
          <w:sz w:val="28"/>
          <w:szCs w:val="28"/>
        </w:rPr>
      </w:pPr>
      <w:r>
        <w:rPr>
          <w:rFonts w:ascii="Garamond" w:hAnsi="Garamond"/>
          <w:i/>
          <w:iCs/>
          <w:color w:val="008037"/>
          <w:sz w:val="28"/>
          <w:szCs w:val="28"/>
          <w:u w:val="single"/>
        </w:rPr>
        <w:t>Thème 4:</w:t>
      </w:r>
      <w:r>
        <w:rPr>
          <w:rFonts w:ascii="Garamond" w:hAnsi="Garamond"/>
          <w:color w:val="008037"/>
          <w:sz w:val="28"/>
          <w:szCs w:val="28"/>
        </w:rPr>
        <w:t xml:space="preserve"> </w:t>
      </w:r>
      <w:r>
        <w:rPr>
          <w:rFonts w:ascii="Garamond" w:hAnsi="Garamond"/>
          <w:sz w:val="28"/>
          <w:szCs w:val="28"/>
        </w:rPr>
        <w:t xml:space="preserve">Développement des outils de migration des données et  programmes contenus  dans les automates programmables. </w:t>
      </w:r>
    </w:p>
    <w:p>
      <w:pPr>
        <w:pStyle w:val="11"/>
        <w:spacing w:line="276" w:lineRule="auto"/>
        <w:ind w:left="0"/>
        <w:jc w:val="both"/>
        <w:rPr>
          <w:rFonts w:ascii="Garamond" w:hAnsi="Garamond" w:eastAsia="Arial Unicode MS"/>
          <w:sz w:val="28"/>
          <w:szCs w:val="28"/>
          <w:lang w:eastAsia="en-US"/>
        </w:rPr>
      </w:pPr>
    </w:p>
    <w:p>
      <w:pPr>
        <w:spacing w:after="0"/>
        <w:rPr>
          <w:rFonts w:ascii="Garamond" w:hAnsi="Garamond"/>
          <w:sz w:val="28"/>
          <w:szCs w:val="28"/>
        </w:rPr>
      </w:pPr>
      <w:r>
        <w:rPr>
          <w:rFonts w:ascii="Garamond" w:hAnsi="Garamond"/>
          <w:b/>
          <w:bCs/>
          <w:color w:val="008037"/>
          <w:sz w:val="32"/>
          <w:szCs w:val="32"/>
        </w:rPr>
        <w:t xml:space="preserve">Axe 8: Développement de matériaux innovants : </w:t>
      </w:r>
      <w:r>
        <w:rPr>
          <w:rFonts w:ascii="Garamond" w:hAnsi="Garamond"/>
          <w:sz w:val="28"/>
          <w:szCs w:val="28"/>
        </w:rPr>
        <w:t>(forage, transport,  Installation et procédés) </w:t>
      </w:r>
    </w:p>
    <w:p>
      <w:pPr>
        <w:spacing w:after="0"/>
        <w:rPr>
          <w:rFonts w:ascii="Garamond" w:hAnsi="Garamond"/>
          <w:sz w:val="28"/>
          <w:szCs w:val="28"/>
        </w:rPr>
      </w:pPr>
    </w:p>
    <w:p>
      <w:pPr>
        <w:spacing w:after="0"/>
        <w:ind w:left="284"/>
        <w:jc w:val="both"/>
        <w:rPr>
          <w:rFonts w:ascii="Garamond" w:hAnsi="Garamond"/>
          <w:sz w:val="28"/>
          <w:szCs w:val="28"/>
        </w:rPr>
      </w:pPr>
      <w:r>
        <w:rPr>
          <w:rFonts w:ascii="Garamond" w:hAnsi="Garamond"/>
          <w:sz w:val="28"/>
          <w:szCs w:val="28"/>
        </w:rPr>
        <w:t xml:space="preserve">Les efforts continus de recherche/développement dans l’amont pétrolier notamment celui du service pétrolier  permettent de lancer des produits et des systèmes innovants qui répondent aux attentes des opérateurs pétroliers en matière de résistance à la compression, à la température et en matière de durabilité.  </w:t>
      </w:r>
    </w:p>
    <w:p>
      <w:pPr>
        <w:spacing w:after="0"/>
        <w:ind w:left="284"/>
        <w:rPr>
          <w:rFonts w:ascii="Garamond" w:hAnsi="Garamond"/>
          <w:sz w:val="28"/>
          <w:szCs w:val="28"/>
        </w:rPr>
      </w:pPr>
    </w:p>
    <w:p>
      <w:pPr>
        <w:spacing w:after="0"/>
        <w:ind w:left="284"/>
        <w:jc w:val="both"/>
        <w:rPr>
          <w:rFonts w:ascii="Garamond" w:hAnsi="Garamond"/>
          <w:sz w:val="28"/>
          <w:szCs w:val="28"/>
        </w:rPr>
      </w:pPr>
      <w:r>
        <w:rPr>
          <w:rFonts w:ascii="Garamond" w:hAnsi="Garamond"/>
          <w:i/>
          <w:iCs/>
          <w:color w:val="008037"/>
          <w:sz w:val="28"/>
          <w:szCs w:val="28"/>
          <w:u w:val="single"/>
        </w:rPr>
        <w:t>Thème 1 :</w:t>
      </w:r>
      <w:r>
        <w:rPr>
          <w:rFonts w:ascii="Garamond" w:hAnsi="Garamond"/>
          <w:color w:val="008037"/>
          <w:sz w:val="28"/>
          <w:szCs w:val="28"/>
        </w:rPr>
        <w:t xml:space="preserve"> </w:t>
      </w:r>
      <w:r>
        <w:rPr>
          <w:rFonts w:ascii="Garamond" w:hAnsi="Garamond"/>
          <w:sz w:val="28"/>
          <w:szCs w:val="28"/>
        </w:rPr>
        <w:t xml:space="preserve">Durabilité des équipements : disques, aubes de turbines à gaz, outils de forage, etc.  </w:t>
      </w:r>
    </w:p>
    <w:p>
      <w:pPr>
        <w:spacing w:after="0"/>
        <w:ind w:left="284"/>
        <w:jc w:val="both"/>
        <w:rPr>
          <w:rFonts w:ascii="Garamond" w:hAnsi="Garamond"/>
          <w:sz w:val="28"/>
          <w:szCs w:val="28"/>
        </w:rPr>
      </w:pPr>
      <w:r>
        <w:rPr>
          <w:rFonts w:ascii="Garamond" w:hAnsi="Garamond"/>
          <w:i/>
          <w:iCs/>
          <w:color w:val="008037"/>
          <w:sz w:val="28"/>
          <w:szCs w:val="28"/>
          <w:u w:val="single"/>
        </w:rPr>
        <w:t>Thème 2 :</w:t>
      </w:r>
      <w:r>
        <w:rPr>
          <w:rFonts w:ascii="Garamond" w:hAnsi="Garamond"/>
          <w:color w:val="008037"/>
          <w:sz w:val="28"/>
          <w:szCs w:val="28"/>
        </w:rPr>
        <w:t xml:space="preserve"> </w:t>
      </w:r>
      <w:r>
        <w:rPr>
          <w:rFonts w:ascii="Garamond" w:hAnsi="Garamond"/>
          <w:sz w:val="28"/>
          <w:szCs w:val="28"/>
        </w:rPr>
        <w:t>Matériaux de forage Haute performance (température et  pression élevées) ;</w:t>
      </w:r>
    </w:p>
    <w:p>
      <w:pPr>
        <w:spacing w:after="0"/>
        <w:ind w:left="284"/>
        <w:jc w:val="both"/>
        <w:rPr>
          <w:rFonts w:ascii="Garamond" w:hAnsi="Garamond"/>
          <w:sz w:val="28"/>
          <w:szCs w:val="28"/>
        </w:rPr>
      </w:pPr>
      <w:r>
        <w:rPr>
          <w:rFonts w:ascii="Garamond" w:hAnsi="Garamond"/>
          <w:i/>
          <w:iCs/>
          <w:color w:val="008037"/>
          <w:sz w:val="28"/>
          <w:szCs w:val="28"/>
          <w:u w:val="single"/>
        </w:rPr>
        <w:t>Thème 3 :</w:t>
      </w:r>
      <w:r>
        <w:rPr>
          <w:rFonts w:ascii="Garamond" w:hAnsi="Garamond"/>
          <w:color w:val="008037"/>
          <w:sz w:val="28"/>
          <w:szCs w:val="28"/>
        </w:rPr>
        <w:t xml:space="preserve"> </w:t>
      </w:r>
      <w:r>
        <w:rPr>
          <w:rFonts w:ascii="Garamond" w:hAnsi="Garamond"/>
          <w:sz w:val="28"/>
          <w:szCs w:val="28"/>
        </w:rPr>
        <w:t xml:space="preserve">Comportement à long terme des bandes en matériaux composites utilisés pour la réparation en charge des canalisations. </w:t>
      </w:r>
    </w:p>
    <w:p>
      <w:pPr>
        <w:rPr>
          <w:rFonts w:ascii="Garamond" w:hAnsi="Garamond"/>
          <w:sz w:val="28"/>
          <w:szCs w:val="28"/>
        </w:rPr>
      </w:pPr>
      <w:r>
        <w:rPr>
          <w:rFonts w:ascii="Garamond" w:hAnsi="Garamond"/>
          <w:sz w:val="28"/>
          <w:szCs w:val="28"/>
        </w:rPr>
        <w:br w:type="page"/>
      </w:r>
    </w:p>
    <w:p>
      <w:pPr>
        <w:pStyle w:val="2"/>
        <w:numPr>
          <w:ilvl w:val="0"/>
          <w:numId w:val="7"/>
        </w:numPr>
        <w:spacing w:before="480" w:line="276" w:lineRule="auto"/>
        <w:jc w:val="both"/>
        <w:rPr>
          <w:rFonts w:ascii="Garamond" w:hAnsi="Garamond" w:eastAsiaTheme="minorHAnsi" w:cstheme="minorBidi"/>
          <w:b/>
          <w:bCs/>
          <w:color w:val="008037"/>
          <w:sz w:val="36"/>
          <w:szCs w:val="36"/>
        </w:rPr>
      </w:pPr>
      <w:bookmarkStart w:id="20" w:name="_Toc70870412"/>
      <w:bookmarkStart w:id="21" w:name="_Toc70942467"/>
      <w:r>
        <w:rPr>
          <w:rFonts w:ascii="Garamond" w:hAnsi="Garamond" w:eastAsiaTheme="minorHAnsi" w:cstheme="minorBidi"/>
          <w:b/>
          <w:bCs/>
          <w:color w:val="008037"/>
          <w:sz w:val="36"/>
          <w:szCs w:val="36"/>
        </w:rPr>
        <w:t>Impacts attendus :</w:t>
      </w:r>
      <w:bookmarkEnd w:id="20"/>
      <w:bookmarkEnd w:id="21"/>
      <w:r>
        <w:rPr>
          <w:rFonts w:ascii="Garamond" w:hAnsi="Garamond" w:eastAsiaTheme="minorHAnsi" w:cstheme="minorBidi"/>
          <w:b/>
          <w:bCs/>
          <w:color w:val="008037"/>
          <w:sz w:val="36"/>
          <w:szCs w:val="36"/>
        </w:rPr>
        <w:t xml:space="preserve"> </w:t>
      </w:r>
    </w:p>
    <w:p>
      <w:pPr>
        <w:jc w:val="both"/>
        <w:rPr>
          <w:rFonts w:ascii="Garamond" w:hAnsi="Garamond"/>
          <w:sz w:val="28"/>
          <w:szCs w:val="28"/>
        </w:rPr>
      </w:pPr>
    </w:p>
    <w:p>
      <w:pPr>
        <w:jc w:val="both"/>
        <w:rPr>
          <w:rFonts w:ascii="Garamond" w:hAnsi="Garamond"/>
          <w:sz w:val="28"/>
          <w:szCs w:val="28"/>
        </w:rPr>
      </w:pPr>
      <w:r>
        <w:rPr>
          <w:rFonts w:ascii="Garamond" w:hAnsi="Garamond"/>
          <w:sz w:val="28"/>
          <w:szCs w:val="28"/>
        </w:rPr>
        <w:t>Le plan de développement pluriannuel des programmes nationaux de recherche vient non seulement consolider la vision du gouvernement en termes de développement économique et de croissance, mais encore soutenir l’ambition des chercheurs et des opérateurs économiques à travailler de concert pour harmoniser leurs objectifs dans le but d’en tirer le maximum de bénéfices pour l’ensemble de la société algérienne. Ce plan de développement pluriannuel répond positivement de manière cohérente et équilibrée aux priorités sociales par un ensemble de mesures et éléments liés aux principes de la loi d'orientation sur la recherche scientifique et le développement technologique.</w:t>
      </w:r>
    </w:p>
    <w:p>
      <w:pPr>
        <w:pStyle w:val="2"/>
        <w:numPr>
          <w:ilvl w:val="0"/>
          <w:numId w:val="7"/>
        </w:numPr>
        <w:spacing w:before="480" w:line="276" w:lineRule="auto"/>
        <w:rPr>
          <w:rFonts w:ascii="Garamond" w:hAnsi="Garamond"/>
          <w:b/>
          <w:bCs/>
          <w:color w:val="008037"/>
          <w:sz w:val="36"/>
          <w:szCs w:val="36"/>
        </w:rPr>
      </w:pPr>
      <w:bookmarkStart w:id="22" w:name="_Toc68445523"/>
      <w:bookmarkStart w:id="23" w:name="_Toc70870413"/>
      <w:bookmarkStart w:id="24" w:name="_Toc70942468"/>
      <w:r>
        <w:rPr>
          <w:rFonts w:ascii="Garamond" w:hAnsi="Garamond"/>
          <w:b/>
          <w:bCs/>
          <w:color w:val="008037"/>
          <w:sz w:val="36"/>
          <w:szCs w:val="36"/>
        </w:rPr>
        <w:t>Calendrier :</w:t>
      </w:r>
      <w:bookmarkEnd w:id="22"/>
      <w:bookmarkEnd w:id="23"/>
      <w:bookmarkEnd w:id="24"/>
      <w:r>
        <w:rPr>
          <w:rFonts w:ascii="Garamond" w:hAnsi="Garamond"/>
          <w:b/>
          <w:bCs/>
          <w:color w:val="008037"/>
          <w:sz w:val="36"/>
          <w:szCs w:val="36"/>
        </w:rPr>
        <w:t xml:space="preserve"> </w:t>
      </w:r>
    </w:p>
    <w:tbl>
      <w:tblPr>
        <w:tblStyle w:val="30"/>
        <w:tblW w:w="0" w:type="auto"/>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972"/>
        <w:gridCol w:w="608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008037"/>
          </w:tcPr>
          <w:p>
            <w:pPr>
              <w:spacing w:after="0" w:line="276" w:lineRule="auto"/>
              <w:jc w:val="center"/>
              <w:rPr>
                <w:rFonts w:ascii="Garamond" w:hAnsi="Garamond"/>
                <w:b/>
                <w:bCs/>
                <w:color w:val="FFFFFF" w:themeColor="background1"/>
                <w:sz w:val="28"/>
                <w:szCs w:val="28"/>
                <w14:textFill>
                  <w14:solidFill>
                    <w14:schemeClr w14:val="bg1"/>
                  </w14:solidFill>
                </w14:textFill>
              </w:rPr>
            </w:pPr>
            <w:r>
              <w:rPr>
                <w:rFonts w:ascii="Garamond" w:hAnsi="Garamond"/>
                <w:b/>
                <w:bCs/>
                <w:color w:val="FFFFFF" w:themeColor="background1"/>
                <w:sz w:val="28"/>
                <w:szCs w:val="28"/>
                <w14:textFill>
                  <w14:solidFill>
                    <w14:schemeClr w14:val="bg1"/>
                  </w14:solidFill>
                </w14:textFill>
              </w:rPr>
              <w:t>Dates provisoires</w:t>
            </w:r>
          </w:p>
        </w:tc>
        <w:tc>
          <w:tcPr>
            <w:tcW w:w="6088" w:type="dxa"/>
            <w:shd w:val="clear" w:color="auto" w:fill="008037"/>
          </w:tcPr>
          <w:p>
            <w:pPr>
              <w:spacing w:after="0" w:line="276" w:lineRule="auto"/>
              <w:jc w:val="center"/>
              <w:rPr>
                <w:rFonts w:ascii="Garamond" w:hAnsi="Garamond"/>
                <w:b/>
                <w:bCs/>
                <w:color w:val="FFFFFF" w:themeColor="background1"/>
                <w:sz w:val="28"/>
                <w:szCs w:val="28"/>
                <w14:textFill>
                  <w14:solidFill>
                    <w14:schemeClr w14:val="bg1"/>
                  </w14:solidFill>
                </w14:textFill>
              </w:rPr>
            </w:pPr>
            <w:r>
              <w:rPr>
                <w:rFonts w:ascii="Garamond" w:hAnsi="Garamond"/>
                <w:b/>
                <w:bCs/>
                <w:color w:val="FFFFFF" w:themeColor="background1"/>
                <w:sz w:val="28"/>
                <w:szCs w:val="28"/>
                <w14:textFill>
                  <w14:solidFill>
                    <w14:schemeClr w14:val="bg1"/>
                  </w14:solidFill>
                </w14:textFill>
              </w:rPr>
              <w:t>Etapes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Mardi 01/03/2022</w:t>
            </w:r>
          </w:p>
        </w:tc>
        <w:tc>
          <w:tcPr>
            <w:tcW w:w="6088" w:type="dxa"/>
            <w:shd w:val="clear" w:color="auto" w:fill="F1F1F1" w:themeFill="background1" w:themeFillShade="F2"/>
          </w:tcPr>
          <w:p>
            <w:pPr>
              <w:spacing w:after="0" w:line="276" w:lineRule="auto"/>
              <w:jc w:val="both"/>
              <w:rPr>
                <w:rFonts w:ascii="Garamond" w:hAnsi="Garamond"/>
                <w:sz w:val="28"/>
                <w:szCs w:val="28"/>
              </w:rPr>
            </w:pPr>
            <w:r>
              <w:rPr>
                <w:rFonts w:ascii="Garamond" w:hAnsi="Garamond"/>
                <w:sz w:val="28"/>
                <w:szCs w:val="28"/>
              </w:rPr>
              <w:t>Annonce officielle du 2</w:t>
            </w:r>
            <w:r>
              <w:rPr>
                <w:rFonts w:ascii="Garamond" w:hAnsi="Garamond"/>
                <w:sz w:val="28"/>
                <w:szCs w:val="28"/>
                <w:vertAlign w:val="superscript"/>
              </w:rPr>
              <w:t>e</w:t>
            </w:r>
            <w:r>
              <w:rPr>
                <w:rFonts w:ascii="Garamond" w:hAnsi="Garamond"/>
                <w:sz w:val="28"/>
                <w:szCs w:val="28"/>
              </w:rPr>
              <w:t xml:space="preserve"> appel à projet PNR II</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tcPr>
          <w:p>
            <w:pPr>
              <w:spacing w:after="0" w:line="240" w:lineRule="auto"/>
              <w:jc w:val="both"/>
              <w:rPr>
                <w:rFonts w:ascii="Garamond" w:hAnsi="Garamond"/>
                <w:b/>
                <w:bCs w:val="0"/>
                <w:color w:val="008037"/>
                <w:sz w:val="28"/>
                <w:szCs w:val="28"/>
              </w:rPr>
            </w:pPr>
            <w:r>
              <w:rPr>
                <w:rFonts w:ascii="Garamond" w:hAnsi="Garamond"/>
                <w:b/>
                <w:bCs w:val="0"/>
                <w:color w:val="008037"/>
                <w:sz w:val="28"/>
                <w:szCs w:val="28"/>
              </w:rPr>
              <w:t>Mardi 05 avril 2022</w:t>
            </w:r>
          </w:p>
        </w:tc>
        <w:tc>
          <w:tcPr>
            <w:tcW w:w="6088" w:type="dxa"/>
          </w:tcPr>
          <w:p>
            <w:pPr>
              <w:spacing w:after="0" w:line="240" w:lineRule="auto"/>
              <w:jc w:val="both"/>
              <w:rPr>
                <w:rFonts w:ascii="Garamond" w:hAnsi="Garamond"/>
                <w:sz w:val="28"/>
                <w:szCs w:val="28"/>
              </w:rPr>
            </w:pPr>
            <w:r>
              <w:rPr>
                <w:rFonts w:ascii="Garamond" w:hAnsi="Garamond"/>
                <w:sz w:val="28"/>
                <w:szCs w:val="28"/>
              </w:rPr>
              <w:t xml:space="preserve">Début de réception des propositions des projets via la plateforme </w:t>
            </w:r>
            <w:r>
              <w:fldChar w:fldCharType="begin"/>
            </w:r>
            <w:r>
              <w:instrText xml:space="preserve"> HYPERLINK "http://www.pnr.dgrsdt.dz" </w:instrText>
            </w:r>
            <w:r>
              <w:fldChar w:fldCharType="separate"/>
            </w:r>
            <w:r>
              <w:rPr>
                <w:rStyle w:val="7"/>
                <w:rFonts w:ascii="Garamond" w:hAnsi="Garamond"/>
                <w:sz w:val="28"/>
                <w:szCs w:val="28"/>
              </w:rPr>
              <w:t>www.pnr.dgrsdt.dz</w:t>
            </w:r>
            <w:r>
              <w:rPr>
                <w:rStyle w:val="7"/>
                <w:rFonts w:ascii="Garamond" w:hAnsi="Garamond"/>
                <w:sz w:val="28"/>
                <w:szCs w:val="28"/>
              </w:rPr>
              <w:fldChar w:fldCharType="end"/>
            </w:r>
            <w:r>
              <w:rPr>
                <w:rFonts w:ascii="Garamond" w:hAnsi="Garamond"/>
                <w:sz w:val="28"/>
                <w:szCs w:val="28"/>
              </w:rPr>
              <w:t xml:space="preserve">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Samedi 21/05/2022 – 23h00</w:t>
            </w:r>
          </w:p>
        </w:tc>
        <w:tc>
          <w:tcPr>
            <w:tcW w:w="6088" w:type="dxa"/>
            <w:shd w:val="clear" w:color="auto" w:fill="F1F1F1" w:themeFill="background1" w:themeFillShade="F2"/>
          </w:tcPr>
          <w:p>
            <w:pPr>
              <w:spacing w:after="0" w:line="276" w:lineRule="auto"/>
              <w:jc w:val="both"/>
              <w:rPr>
                <w:rFonts w:ascii="Garamond" w:hAnsi="Garamond"/>
                <w:sz w:val="28"/>
                <w:szCs w:val="28"/>
              </w:rPr>
            </w:pPr>
            <w:r>
              <w:rPr>
                <w:rFonts w:ascii="Garamond" w:hAnsi="Garamond"/>
                <w:sz w:val="28"/>
                <w:szCs w:val="28"/>
              </w:rPr>
              <w:t>Date limite de soumission des propositions (obligatoire). 23h00.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Mercredi 31/08/2022</w:t>
            </w:r>
          </w:p>
        </w:tc>
        <w:tc>
          <w:tcPr>
            <w:tcW w:w="6088" w:type="dxa"/>
          </w:tcPr>
          <w:p>
            <w:pPr>
              <w:spacing w:after="0" w:line="276" w:lineRule="auto"/>
              <w:jc w:val="both"/>
              <w:rPr>
                <w:rFonts w:ascii="Garamond" w:hAnsi="Garamond"/>
                <w:sz w:val="28"/>
                <w:szCs w:val="28"/>
              </w:rPr>
            </w:pPr>
            <w:r>
              <w:rPr>
                <w:rFonts w:ascii="Garamond" w:hAnsi="Garamond"/>
                <w:sz w:val="28"/>
                <w:szCs w:val="28"/>
              </w:rPr>
              <w:t>Clôture de l’examen scientifique des propositions par les experts.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Jeudi 01/09/2022</w:t>
            </w:r>
          </w:p>
        </w:tc>
        <w:tc>
          <w:tcPr>
            <w:tcW w:w="6088" w:type="dxa"/>
            <w:shd w:val="clear" w:color="auto" w:fill="F1F1F1" w:themeFill="background1" w:themeFillShade="F2"/>
          </w:tcPr>
          <w:p>
            <w:pPr>
              <w:spacing w:after="0" w:line="276" w:lineRule="auto"/>
              <w:jc w:val="both"/>
              <w:rPr>
                <w:rFonts w:ascii="Garamond" w:hAnsi="Garamond"/>
                <w:sz w:val="28"/>
                <w:szCs w:val="28"/>
              </w:rPr>
            </w:pPr>
            <w:r>
              <w:rPr>
                <w:rFonts w:ascii="Garamond" w:hAnsi="Garamond"/>
                <w:sz w:val="28"/>
                <w:szCs w:val="28"/>
              </w:rPr>
              <w:t>Communication des résultats de présélection.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Du 02/09/2022 au 11/09/2022</w:t>
            </w:r>
          </w:p>
        </w:tc>
        <w:tc>
          <w:tcPr>
            <w:tcW w:w="6088" w:type="dxa"/>
          </w:tcPr>
          <w:p>
            <w:pPr>
              <w:spacing w:after="0" w:line="276" w:lineRule="auto"/>
              <w:jc w:val="both"/>
              <w:rPr>
                <w:rFonts w:ascii="Garamond" w:hAnsi="Garamond"/>
                <w:sz w:val="28"/>
                <w:szCs w:val="28"/>
              </w:rPr>
            </w:pPr>
            <w:r>
              <w:rPr>
                <w:rFonts w:ascii="Garamond" w:hAnsi="Garamond"/>
                <w:sz w:val="28"/>
                <w:szCs w:val="28"/>
              </w:rPr>
              <w:t xml:space="preserve">Recours de la phase de présélection.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Le  25/09/2022</w:t>
            </w:r>
          </w:p>
        </w:tc>
        <w:tc>
          <w:tcPr>
            <w:tcW w:w="6088" w:type="dxa"/>
            <w:shd w:val="clear" w:color="auto" w:fill="F1F1F1" w:themeFill="background1" w:themeFillShade="F2"/>
          </w:tcPr>
          <w:p>
            <w:pPr>
              <w:spacing w:after="0" w:line="276" w:lineRule="auto"/>
              <w:jc w:val="both"/>
              <w:rPr>
                <w:rFonts w:ascii="Garamond" w:hAnsi="Garamond"/>
                <w:sz w:val="28"/>
                <w:szCs w:val="28"/>
              </w:rPr>
            </w:pPr>
            <w:r>
              <w:rPr>
                <w:rFonts w:ascii="Garamond" w:hAnsi="Garamond"/>
                <w:sz w:val="28"/>
                <w:szCs w:val="28"/>
              </w:rPr>
              <w:t xml:space="preserve">Résultats des recours.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Du 16/10/2022 au 06/11/2022</w:t>
            </w:r>
          </w:p>
        </w:tc>
        <w:tc>
          <w:tcPr>
            <w:tcW w:w="6088" w:type="dxa"/>
          </w:tcPr>
          <w:p>
            <w:pPr>
              <w:spacing w:after="0" w:line="276" w:lineRule="auto"/>
              <w:jc w:val="both"/>
              <w:rPr>
                <w:rFonts w:ascii="Garamond" w:hAnsi="Garamond"/>
                <w:sz w:val="28"/>
                <w:szCs w:val="28"/>
              </w:rPr>
            </w:pPr>
            <w:r>
              <w:rPr>
                <w:rFonts w:ascii="Garamond" w:hAnsi="Garamond"/>
                <w:sz w:val="28"/>
                <w:szCs w:val="28"/>
              </w:rPr>
              <w:t>Sélection finale des projets par les secteurs concernés.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40" w:lineRule="auto"/>
              <w:jc w:val="both"/>
              <w:rPr>
                <w:rFonts w:ascii="Garamond" w:hAnsi="Garamond"/>
                <w:b/>
                <w:bCs w:val="0"/>
                <w:color w:val="008037"/>
                <w:sz w:val="28"/>
                <w:szCs w:val="28"/>
              </w:rPr>
            </w:pPr>
            <w:r>
              <w:rPr>
                <w:rFonts w:ascii="Garamond" w:hAnsi="Garamond"/>
                <w:b/>
                <w:bCs/>
                <w:color w:val="008037"/>
                <w:sz w:val="28"/>
                <w:szCs w:val="28"/>
              </w:rPr>
              <w:t>14/11/2022</w:t>
            </w:r>
          </w:p>
        </w:tc>
        <w:tc>
          <w:tcPr>
            <w:tcW w:w="6088" w:type="dxa"/>
            <w:shd w:val="clear" w:color="auto" w:fill="F1F1F1" w:themeFill="background1" w:themeFillShade="F2"/>
          </w:tcPr>
          <w:p>
            <w:pPr>
              <w:spacing w:after="0" w:line="240" w:lineRule="auto"/>
              <w:jc w:val="both"/>
              <w:rPr>
                <w:rFonts w:ascii="Garamond" w:hAnsi="Garamond"/>
                <w:sz w:val="28"/>
                <w:szCs w:val="28"/>
              </w:rPr>
            </w:pPr>
            <w:r>
              <w:rPr>
                <w:rFonts w:ascii="Garamond" w:hAnsi="Garamond"/>
                <w:sz w:val="28"/>
                <w:szCs w:val="28"/>
              </w:rPr>
              <w:t>Annonce de résultats définitifs du 2</w:t>
            </w:r>
            <w:r>
              <w:rPr>
                <w:rFonts w:ascii="Garamond" w:hAnsi="Garamond"/>
                <w:sz w:val="28"/>
                <w:szCs w:val="28"/>
                <w:vertAlign w:val="superscript"/>
              </w:rPr>
              <w:t>e</w:t>
            </w:r>
            <w:r>
              <w:rPr>
                <w:rFonts w:ascii="Garamond" w:hAnsi="Garamond"/>
                <w:sz w:val="28"/>
                <w:szCs w:val="28"/>
              </w:rPr>
              <w:t xml:space="preserve"> appel à projets PNR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du 15/11/2022 au 24/11/2022</w:t>
            </w:r>
          </w:p>
        </w:tc>
        <w:tc>
          <w:tcPr>
            <w:tcW w:w="6088" w:type="dxa"/>
          </w:tcPr>
          <w:p>
            <w:pPr>
              <w:spacing w:after="0" w:line="276" w:lineRule="auto"/>
              <w:jc w:val="both"/>
              <w:rPr>
                <w:rFonts w:ascii="Garamond" w:hAnsi="Garamond"/>
                <w:sz w:val="28"/>
                <w:szCs w:val="28"/>
              </w:rPr>
            </w:pPr>
            <w:r>
              <w:rPr>
                <w:rFonts w:ascii="Garamond" w:hAnsi="Garamond"/>
                <w:sz w:val="28"/>
                <w:szCs w:val="28"/>
              </w:rPr>
              <w:t xml:space="preserve">Signature des contrats de recherche et de conventions spécifiques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972" w:type="dxa"/>
            <w:shd w:val="clear" w:color="auto" w:fill="F1F1F1" w:themeFill="background1" w:themeFillShade="F2"/>
          </w:tcPr>
          <w:p>
            <w:pPr>
              <w:spacing w:after="0" w:line="276" w:lineRule="auto"/>
              <w:jc w:val="both"/>
              <w:rPr>
                <w:rFonts w:ascii="Garamond" w:hAnsi="Garamond"/>
                <w:b/>
                <w:bCs w:val="0"/>
                <w:color w:val="008037"/>
                <w:sz w:val="28"/>
                <w:szCs w:val="28"/>
              </w:rPr>
            </w:pPr>
            <w:r>
              <w:rPr>
                <w:rFonts w:ascii="Garamond" w:hAnsi="Garamond"/>
                <w:b/>
                <w:bCs w:val="0"/>
                <w:color w:val="008037"/>
                <w:sz w:val="28"/>
                <w:szCs w:val="28"/>
              </w:rPr>
              <w:t>Décembre 2022</w:t>
            </w:r>
          </w:p>
        </w:tc>
        <w:tc>
          <w:tcPr>
            <w:tcW w:w="6088" w:type="dxa"/>
            <w:shd w:val="clear" w:color="auto" w:fill="F1F1F1" w:themeFill="background1" w:themeFillShade="F2"/>
          </w:tcPr>
          <w:p>
            <w:pPr>
              <w:spacing w:after="0" w:line="276" w:lineRule="auto"/>
              <w:jc w:val="both"/>
              <w:rPr>
                <w:rFonts w:ascii="Garamond" w:hAnsi="Garamond"/>
                <w:sz w:val="28"/>
                <w:szCs w:val="28"/>
              </w:rPr>
            </w:pPr>
            <w:r>
              <w:rPr>
                <w:rFonts w:ascii="Garamond" w:hAnsi="Garamond"/>
                <w:sz w:val="28"/>
                <w:szCs w:val="28"/>
              </w:rPr>
              <w:t>Pré-appel à projets PNR III pour l’année 2023.</w:t>
            </w:r>
          </w:p>
        </w:tc>
      </w:tr>
    </w:tbl>
    <w:p>
      <w:pPr>
        <w:pStyle w:val="2"/>
        <w:numPr>
          <w:ilvl w:val="0"/>
          <w:numId w:val="7"/>
        </w:numPr>
        <w:spacing w:before="480" w:line="276" w:lineRule="auto"/>
        <w:rPr>
          <w:rFonts w:ascii="Garamond" w:hAnsi="Garamond"/>
          <w:b/>
          <w:bCs/>
          <w:color w:val="953735" w:themeColor="accent2" w:themeShade="BF"/>
          <w:sz w:val="36"/>
          <w:szCs w:val="36"/>
        </w:rPr>
      </w:pPr>
      <w:bookmarkStart w:id="25" w:name="_Toc68445524"/>
      <w:bookmarkStart w:id="26" w:name="_Toc70870414"/>
      <w:bookmarkStart w:id="27" w:name="_Toc70942469"/>
      <w:r>
        <w:rPr>
          <w:rFonts w:ascii="Garamond" w:hAnsi="Garamond"/>
          <w:b/>
          <w:bCs/>
          <w:color w:val="008037"/>
          <w:sz w:val="36"/>
          <w:szCs w:val="36"/>
        </w:rPr>
        <w:t>Déroulement de la mise en œuvre des PNR</w:t>
      </w:r>
      <w:bookmarkEnd w:id="25"/>
      <w:bookmarkEnd w:id="26"/>
      <w:bookmarkEnd w:id="27"/>
      <w:r>
        <w:rPr>
          <w:rFonts w:ascii="Garamond" w:hAnsi="Garamond"/>
          <w:b/>
          <w:bCs/>
          <w:color w:val="008037"/>
          <w:sz w:val="36"/>
          <w:szCs w:val="36"/>
        </w:rPr>
        <w:t xml:space="preserve"> </w:t>
      </w:r>
    </w:p>
    <w:p>
      <w:pPr>
        <w:jc w:val="both"/>
        <w:rPr>
          <w:rFonts w:ascii="Garamond" w:hAnsi="Garamond"/>
          <w:sz w:val="28"/>
          <w:szCs w:val="28"/>
        </w:rPr>
      </w:pPr>
      <w:r>
        <w:rPr>
          <w:rFonts w:ascii="Garamond" w:hAnsi="Garamond"/>
          <w:b/>
          <w:bCs/>
          <w:sz w:val="28"/>
          <w:szCs w:val="28"/>
        </w:rPr>
        <w:t>L</w:t>
      </w:r>
      <w:r>
        <w:rPr>
          <w:rFonts w:ascii="Garamond" w:hAnsi="Garamond"/>
          <w:sz w:val="28"/>
          <w:szCs w:val="28"/>
        </w:rPr>
        <w:t>e lancement et le suivi de l’appel se feront à travers les agences thématiques de recherche sous l’autorité de la Direction générale de la recherche scientifique et du développement technologique et en coordination avec les commissions intersectorielles de recherche scientifique et du développement technologique qui regroupent différents ministères.</w:t>
      </w:r>
    </w:p>
    <w:p>
      <w:pPr>
        <w:jc w:val="both"/>
        <w:rPr>
          <w:rFonts w:ascii="Garamond" w:hAnsi="Garamond"/>
          <w:b/>
          <w:bCs/>
          <w:sz w:val="28"/>
          <w:szCs w:val="28"/>
        </w:rPr>
      </w:pPr>
      <w:r>
        <w:rPr>
          <w:rFonts w:ascii="Garamond" w:hAnsi="Garamond"/>
          <w:sz w:val="28"/>
          <w:szCs w:val="28"/>
        </w:rPr>
        <w:t xml:space="preserve">Durant la phase d’appel à projets, des campagnes de sensibilisation seront organisées à travers différents canaux, notamment à travers l’organisation de webinaires et des rencontres régionales afin de regrouper les acteurs socioéconomiques ainsi que la communauté scientifique. </w:t>
      </w:r>
    </w:p>
    <w:p>
      <w:pPr>
        <w:pStyle w:val="18"/>
        <w:numPr>
          <w:ilvl w:val="1"/>
          <w:numId w:val="7"/>
        </w:numPr>
        <w:jc w:val="both"/>
        <w:rPr>
          <w:rFonts w:ascii="Garamond" w:hAnsi="Garamond"/>
          <w:b/>
          <w:bCs/>
          <w:color w:val="254061" w:themeColor="accent1" w:themeShade="80"/>
          <w:sz w:val="28"/>
          <w:szCs w:val="28"/>
        </w:rPr>
      </w:pPr>
      <w:bookmarkStart w:id="28" w:name="_Toc68445525"/>
      <w:bookmarkStart w:id="29" w:name="_Toc70870415"/>
      <w:bookmarkStart w:id="30" w:name="_Toc70942470"/>
      <w:r>
        <w:rPr>
          <w:rStyle w:val="26"/>
          <w:color w:val="008037"/>
          <w:sz w:val="28"/>
          <w:szCs w:val="28"/>
        </w:rPr>
        <w:t>Etapes de sélection des projets :</w:t>
      </w:r>
      <w:bookmarkEnd w:id="28"/>
      <w:bookmarkEnd w:id="29"/>
      <w:bookmarkEnd w:id="30"/>
      <w:r>
        <w:rPr>
          <w:rFonts w:ascii="Garamond" w:hAnsi="Garamond"/>
          <w:b/>
          <w:bCs/>
          <w:color w:val="008037"/>
          <w:sz w:val="28"/>
          <w:szCs w:val="28"/>
        </w:rPr>
        <w:t xml:space="preserve"> </w:t>
      </w:r>
      <w:r>
        <w:rPr>
          <w:rFonts w:ascii="Garamond" w:hAnsi="Garamond"/>
          <w:sz w:val="28"/>
          <w:szCs w:val="28"/>
        </w:rPr>
        <w:t xml:space="preserve">La sélection des projets se fera en deux phases : </w:t>
      </w:r>
    </w:p>
    <w:p>
      <w:pPr>
        <w:pStyle w:val="18"/>
        <w:numPr>
          <w:ilvl w:val="0"/>
          <w:numId w:val="8"/>
        </w:numPr>
        <w:spacing w:after="160"/>
        <w:jc w:val="both"/>
        <w:rPr>
          <w:rFonts w:ascii="Garamond" w:hAnsi="Garamond"/>
          <w:sz w:val="28"/>
          <w:szCs w:val="28"/>
        </w:rPr>
      </w:pPr>
      <w:r>
        <w:rPr>
          <w:rFonts w:ascii="Garamond" w:hAnsi="Garamond"/>
          <w:b/>
          <w:color w:val="008037"/>
          <w:sz w:val="28"/>
          <w:szCs w:val="28"/>
        </w:rPr>
        <w:t>Phase 01 :</w:t>
      </w:r>
      <w:r>
        <w:rPr>
          <w:rFonts w:ascii="Garamond" w:hAnsi="Garamond"/>
          <w:color w:val="008037"/>
          <w:sz w:val="28"/>
          <w:szCs w:val="28"/>
        </w:rPr>
        <w:t xml:space="preserve"> </w:t>
      </w:r>
      <w:r>
        <w:rPr>
          <w:rFonts w:ascii="Garamond" w:hAnsi="Garamond"/>
          <w:sz w:val="28"/>
          <w:szCs w:val="28"/>
        </w:rPr>
        <w:t xml:space="preserve">la présélection des projets portera sur l’examen de la faisabilité des propositions, elle sera assurée par des experts indépendants.  </w:t>
      </w:r>
    </w:p>
    <w:p>
      <w:pPr>
        <w:pStyle w:val="18"/>
        <w:numPr>
          <w:ilvl w:val="0"/>
          <w:numId w:val="8"/>
        </w:numPr>
        <w:spacing w:after="160"/>
        <w:jc w:val="both"/>
        <w:rPr>
          <w:rFonts w:ascii="Garamond" w:hAnsi="Garamond"/>
          <w:sz w:val="28"/>
          <w:szCs w:val="28"/>
        </w:rPr>
      </w:pPr>
      <w:r>
        <w:rPr>
          <w:rFonts w:ascii="Garamond" w:hAnsi="Garamond"/>
          <w:b/>
          <w:color w:val="008037"/>
          <w:sz w:val="28"/>
          <w:szCs w:val="28"/>
        </w:rPr>
        <w:t>Phase 02 :</w:t>
      </w:r>
      <w:r>
        <w:rPr>
          <w:rFonts w:ascii="Garamond" w:hAnsi="Garamond"/>
          <w:color w:val="008037"/>
          <w:sz w:val="28"/>
          <w:szCs w:val="28"/>
        </w:rPr>
        <w:t xml:space="preserve"> </w:t>
      </w:r>
      <w:r>
        <w:rPr>
          <w:rFonts w:ascii="Garamond" w:hAnsi="Garamond"/>
          <w:sz w:val="28"/>
          <w:szCs w:val="28"/>
        </w:rPr>
        <w:t>La sélection finale des propositions se fera par les ministères concernés selon la faisabilité des projets et selon l’importance des besoins socio-économiques.</w:t>
      </w:r>
    </w:p>
    <w:p>
      <w:pPr>
        <w:pStyle w:val="18"/>
        <w:numPr>
          <w:ilvl w:val="1"/>
          <w:numId w:val="7"/>
        </w:numPr>
        <w:jc w:val="both"/>
        <w:rPr>
          <w:rFonts w:ascii="Garamond" w:hAnsi="Garamond"/>
          <w:sz w:val="28"/>
          <w:szCs w:val="28"/>
        </w:rPr>
      </w:pPr>
      <w:bookmarkStart w:id="31" w:name="_Toc68445526"/>
      <w:bookmarkStart w:id="32" w:name="_Toc70870416"/>
      <w:bookmarkStart w:id="33" w:name="_Toc70942471"/>
      <w:r>
        <w:rPr>
          <w:rStyle w:val="26"/>
          <w:color w:val="008037"/>
          <w:sz w:val="28"/>
          <w:szCs w:val="28"/>
        </w:rPr>
        <w:t>Nombre de projets maximum pouvant être retenus pour les PNR 2 :</w:t>
      </w:r>
      <w:bookmarkEnd w:id="31"/>
      <w:bookmarkEnd w:id="32"/>
      <w:bookmarkEnd w:id="33"/>
      <w:r>
        <w:rPr>
          <w:rFonts w:ascii="Garamond" w:hAnsi="Garamond"/>
          <w:b/>
          <w:bCs/>
          <w:color w:val="008037"/>
          <w:sz w:val="28"/>
          <w:szCs w:val="28"/>
        </w:rPr>
        <w:t xml:space="preserve"> </w:t>
      </w:r>
      <w:r>
        <w:rPr>
          <w:rFonts w:ascii="Garamond" w:hAnsi="Garamond"/>
          <w:sz w:val="28"/>
          <w:szCs w:val="28"/>
        </w:rPr>
        <w:t xml:space="preserve">Pour l’année 2022, il sera retenu au maximum </w:t>
      </w:r>
      <w:r>
        <w:rPr>
          <w:rFonts w:ascii="Garamond" w:hAnsi="Garamond"/>
          <w:b/>
          <w:bCs/>
          <w:sz w:val="28"/>
          <w:szCs w:val="28"/>
          <w:u w:val="single"/>
        </w:rPr>
        <w:t>50 projets</w:t>
      </w:r>
      <w:r>
        <w:rPr>
          <w:rFonts w:ascii="Garamond" w:hAnsi="Garamond"/>
          <w:sz w:val="28"/>
          <w:szCs w:val="28"/>
        </w:rPr>
        <w:t xml:space="preserve"> pour le PNR sécurité énergétique.</w:t>
      </w:r>
    </w:p>
    <w:p>
      <w:pPr>
        <w:jc w:val="both"/>
        <w:rPr>
          <w:rFonts w:ascii="Garamond" w:hAnsi="Garamond"/>
          <w:sz w:val="28"/>
          <w:szCs w:val="28"/>
        </w:rPr>
      </w:pPr>
      <w:r>
        <w:rPr>
          <w:rFonts w:ascii="Garamond" w:hAnsi="Garamond"/>
          <w:sz w:val="28"/>
          <w:szCs w:val="28"/>
        </w:rPr>
        <w:t xml:space="preserve">La sélection du projet se fera dans un contexte de compétitivité, répartie selon les thèmes de recherche proposés dans l’appel. </w:t>
      </w:r>
    </w:p>
    <w:p>
      <w:pPr>
        <w:pStyle w:val="3"/>
        <w:numPr>
          <w:ilvl w:val="1"/>
          <w:numId w:val="7"/>
        </w:numPr>
        <w:rPr>
          <w:color w:val="008037"/>
          <w:sz w:val="28"/>
          <w:szCs w:val="28"/>
        </w:rPr>
      </w:pPr>
      <w:bookmarkStart w:id="34" w:name="_Toc68445527"/>
      <w:bookmarkStart w:id="35" w:name="_Toc70870417"/>
      <w:bookmarkStart w:id="36" w:name="_Toc70942472"/>
      <w:r>
        <w:rPr>
          <w:color w:val="008037"/>
          <w:sz w:val="28"/>
          <w:szCs w:val="28"/>
        </w:rPr>
        <w:t>Qui peut intégrer le projet ?</w:t>
      </w:r>
      <w:bookmarkEnd w:id="34"/>
      <w:bookmarkEnd w:id="35"/>
      <w:bookmarkEnd w:id="36"/>
    </w:p>
    <w:p>
      <w:pPr>
        <w:pStyle w:val="18"/>
        <w:numPr>
          <w:ilvl w:val="0"/>
          <w:numId w:val="8"/>
        </w:numPr>
        <w:spacing w:after="160"/>
        <w:jc w:val="both"/>
        <w:rPr>
          <w:rFonts w:ascii="Garamond" w:hAnsi="Garamond"/>
          <w:sz w:val="28"/>
          <w:szCs w:val="28"/>
        </w:rPr>
      </w:pPr>
      <w:r>
        <w:rPr>
          <w:rFonts w:ascii="Garamond" w:hAnsi="Garamond"/>
          <w:sz w:val="28"/>
          <w:szCs w:val="28"/>
        </w:rPr>
        <w:t>Les chercheurs permanents algériens en Algérie et à l’étranger ;</w:t>
      </w:r>
    </w:p>
    <w:p>
      <w:pPr>
        <w:pStyle w:val="18"/>
        <w:numPr>
          <w:ilvl w:val="0"/>
          <w:numId w:val="8"/>
        </w:numPr>
        <w:spacing w:after="160"/>
        <w:jc w:val="both"/>
        <w:rPr>
          <w:rFonts w:ascii="Garamond" w:hAnsi="Garamond"/>
          <w:sz w:val="28"/>
          <w:szCs w:val="28"/>
        </w:rPr>
      </w:pPr>
      <w:r>
        <w:rPr>
          <w:rFonts w:ascii="Garamond" w:hAnsi="Garamond"/>
          <w:sz w:val="28"/>
          <w:szCs w:val="28"/>
        </w:rPr>
        <w:t>Les enseignants chercheurs hospitalo-universitaires algériens en Algérie et à l’étranger ;</w:t>
      </w:r>
    </w:p>
    <w:p>
      <w:pPr>
        <w:pStyle w:val="18"/>
        <w:numPr>
          <w:ilvl w:val="0"/>
          <w:numId w:val="8"/>
        </w:numPr>
        <w:spacing w:after="160"/>
        <w:rPr>
          <w:rFonts w:ascii="Garamond" w:hAnsi="Garamond"/>
          <w:sz w:val="28"/>
          <w:szCs w:val="28"/>
        </w:rPr>
      </w:pPr>
      <w:r>
        <w:rPr>
          <w:rFonts w:ascii="Garamond" w:hAnsi="Garamond"/>
          <w:sz w:val="28"/>
          <w:szCs w:val="28"/>
        </w:rPr>
        <w:t>Les enseignants chercheurs algériens en Algérie et à l’étranger ;</w:t>
      </w:r>
    </w:p>
    <w:p>
      <w:pPr>
        <w:pStyle w:val="18"/>
        <w:numPr>
          <w:ilvl w:val="0"/>
          <w:numId w:val="8"/>
        </w:numPr>
        <w:spacing w:after="160"/>
        <w:jc w:val="both"/>
        <w:rPr>
          <w:rFonts w:ascii="Garamond" w:hAnsi="Garamond"/>
          <w:sz w:val="28"/>
          <w:szCs w:val="28"/>
        </w:rPr>
      </w:pPr>
      <w:r>
        <w:rPr>
          <w:rFonts w:ascii="Garamond" w:hAnsi="Garamond"/>
          <w:sz w:val="28"/>
          <w:szCs w:val="28"/>
        </w:rPr>
        <w:t>Les compétences du secteur socio-économique (bac+05 années universitaires ou plus) : ingénieur, master, médecin, médecin spécialiste…</w:t>
      </w:r>
    </w:p>
    <w:p>
      <w:pPr>
        <w:pStyle w:val="18"/>
        <w:spacing w:after="160"/>
        <w:jc w:val="both"/>
        <w:rPr>
          <w:rFonts w:ascii="Garamond" w:hAnsi="Garamond"/>
          <w:sz w:val="28"/>
          <w:szCs w:val="28"/>
        </w:rPr>
      </w:pPr>
      <w:r>
        <w:rPr>
          <w:rFonts w:ascii="Garamond" w:hAnsi="Garamond"/>
          <w:sz w:val="28"/>
          <w:szCs w:val="28"/>
          <w:lang w:eastAsia="fr-FR"/>
        </w:rPr>
        <mc:AlternateContent>
          <mc:Choice Requires="wps">
            <w:drawing>
              <wp:anchor distT="0" distB="0" distL="114300" distR="114300" simplePos="0" relativeHeight="251671552" behindDoc="0" locked="0" layoutInCell="1" allowOverlap="1">
                <wp:simplePos x="0" y="0"/>
                <wp:positionH relativeFrom="column">
                  <wp:posOffset>-163830</wp:posOffset>
                </wp:positionH>
                <wp:positionV relativeFrom="paragraph">
                  <wp:posOffset>236220</wp:posOffset>
                </wp:positionV>
                <wp:extent cx="6000750" cy="857250"/>
                <wp:effectExtent l="0" t="0" r="19050" b="31750"/>
                <wp:wrapNone/>
                <wp:docPr id="2" name="Zone de texte 2"/>
                <wp:cNvGraphicFramePr/>
                <a:graphic xmlns:a="http://schemas.openxmlformats.org/drawingml/2006/main">
                  <a:graphicData uri="http://schemas.microsoft.com/office/word/2010/wordprocessingShape">
                    <wps:wsp>
                      <wps:cNvSpPr txBox="1"/>
                      <wps:spPr>
                        <a:xfrm>
                          <a:off x="0" y="0"/>
                          <a:ext cx="6000750" cy="857250"/>
                        </a:xfrm>
                        <a:prstGeom prst="rect">
                          <a:avLst/>
                        </a:prstGeom>
                        <a:noFill/>
                        <a:ln>
                          <a:solidFill>
                            <a:srgbClr val="008037"/>
                          </a:solidFill>
                        </a:ln>
                      </wps:spPr>
                      <wps:style>
                        <a:lnRef idx="2">
                          <a:schemeClr val="accent2"/>
                        </a:lnRef>
                        <a:fillRef idx="1">
                          <a:schemeClr val="lt1"/>
                        </a:fillRef>
                        <a:effectRef idx="0">
                          <a:schemeClr val="accent2"/>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pt;margin-top:18.6pt;height:67.5pt;width:472.5pt;z-index:251671552;mso-width-relative:page;mso-height-relative:page;" filled="f" stroked="t" coordsize="21600,21600" o:gfxdata="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5+Y12gAAAAoBAAAPAAAAAAAAAAEAIAAAACIAAABkcnMvZG93bnJldi54bWxQSwECFAAU&#10;AAAACACHTuJA1NI/T2ECAADOBAAADgAAAAAAAAABACAAAAApAQAAZHJzL2Uyb0RvYy54bWxQSwUG&#10;AAAAAAYABgBZAQAA/AUAAAAA&#10;">
                <v:fill on="f" focussize="0,0"/>
                <v:stroke weight="2pt" color="#008037 [3205]" joinstyle="round"/>
                <v:imagedata o:title=""/>
                <o:lock v:ext="edit" aspectratio="f"/>
                <v:textbox>
                  <w:txbxContent>
                    <w:p/>
                  </w:txbxContent>
                </v:textbox>
              </v:shape>
            </w:pict>
          </mc:Fallback>
        </mc:AlternateContent>
      </w:r>
    </w:p>
    <w:p>
      <w:pPr>
        <w:spacing w:after="160"/>
        <w:jc w:val="both"/>
        <w:rPr>
          <w:rFonts w:ascii="Garamond" w:hAnsi="Garamond"/>
          <w:b/>
          <w:bCs/>
          <w:sz w:val="28"/>
          <w:szCs w:val="28"/>
        </w:rPr>
      </w:pPr>
      <w:r>
        <w:rPr>
          <w:rFonts w:ascii="Garamond" w:hAnsi="Garamond"/>
          <w:b/>
          <w:bCs/>
          <w:sz w:val="28"/>
          <w:szCs w:val="28"/>
        </w:rPr>
        <w:t xml:space="preserve">Les chercheurs permanents, les enseignants chercheurs, les enseignants chercheurs hospitalo-universitaires ne peuvent en aucun cas être inscrits en tant que membres représentants le secteur socioéconomique. </w:t>
      </w:r>
    </w:p>
    <w:p>
      <w:pPr>
        <w:spacing w:after="160"/>
        <w:jc w:val="both"/>
        <w:rPr>
          <w:rFonts w:ascii="Garamond" w:hAnsi="Garamond"/>
          <w:b/>
          <w:bCs/>
          <w:sz w:val="28"/>
          <w:szCs w:val="28"/>
        </w:rPr>
      </w:pPr>
    </w:p>
    <w:p>
      <w:pPr>
        <w:pStyle w:val="3"/>
        <w:numPr>
          <w:ilvl w:val="1"/>
          <w:numId w:val="7"/>
        </w:numPr>
        <w:rPr>
          <w:color w:val="008037"/>
          <w:sz w:val="28"/>
          <w:szCs w:val="28"/>
        </w:rPr>
      </w:pPr>
      <w:bookmarkStart w:id="37" w:name="_Toc68445528"/>
      <w:bookmarkStart w:id="38" w:name="_Toc70870418"/>
      <w:bookmarkStart w:id="39" w:name="_Toc70942473"/>
      <w:r>
        <w:rPr>
          <w:color w:val="008037"/>
          <w:sz w:val="28"/>
          <w:szCs w:val="28"/>
        </w:rPr>
        <w:t>Conditions de participation à l’appel :</w:t>
      </w:r>
      <w:bookmarkEnd w:id="37"/>
      <w:bookmarkEnd w:id="38"/>
      <w:bookmarkEnd w:id="39"/>
      <w:r>
        <w:rPr>
          <w:color w:val="008037"/>
          <w:sz w:val="28"/>
          <w:szCs w:val="28"/>
        </w:rPr>
        <w:t xml:space="preserve"> </w:t>
      </w:r>
    </w:p>
    <w:p>
      <w:pPr>
        <w:pStyle w:val="18"/>
        <w:numPr>
          <w:ilvl w:val="0"/>
          <w:numId w:val="9"/>
        </w:numPr>
        <w:spacing w:after="160"/>
        <w:jc w:val="both"/>
        <w:rPr>
          <w:rFonts w:ascii="Garamond" w:hAnsi="Garamond"/>
          <w:sz w:val="28"/>
          <w:szCs w:val="28"/>
        </w:rPr>
      </w:pPr>
      <w:r>
        <w:rPr>
          <w:rFonts w:ascii="Garamond" w:hAnsi="Garamond"/>
          <w:sz w:val="28"/>
          <w:szCs w:val="28"/>
        </w:rPr>
        <w:t>L’équipe de recherche proposée sera répartie équitablement entre les chercheurs et les compétences du secteur socio-économique.</w:t>
      </w:r>
    </w:p>
    <w:p>
      <w:pPr>
        <w:pStyle w:val="18"/>
        <w:numPr>
          <w:ilvl w:val="0"/>
          <w:numId w:val="9"/>
        </w:numPr>
        <w:spacing w:after="160"/>
        <w:jc w:val="both"/>
        <w:rPr>
          <w:rFonts w:ascii="Garamond" w:hAnsi="Garamond"/>
          <w:sz w:val="28"/>
          <w:szCs w:val="28"/>
        </w:rPr>
      </w:pPr>
      <w:r>
        <w:rPr>
          <w:rFonts w:ascii="Garamond" w:hAnsi="Garamond"/>
          <w:sz w:val="28"/>
          <w:szCs w:val="28"/>
        </w:rPr>
        <w:t xml:space="preserve">Outre la </w:t>
      </w:r>
      <w:r>
        <w:rPr>
          <w:rFonts w:ascii="Garamond" w:hAnsi="Garamond"/>
          <w:color w:val="254061" w:themeColor="accent1" w:themeShade="80"/>
          <w:sz w:val="28"/>
          <w:szCs w:val="28"/>
          <w:u w:val="single"/>
        </w:rPr>
        <w:t>compétence scientifique</w:t>
      </w:r>
      <w:r>
        <w:rPr>
          <w:rFonts w:ascii="Garamond" w:hAnsi="Garamond"/>
          <w:sz w:val="28"/>
          <w:szCs w:val="28"/>
        </w:rPr>
        <w:t xml:space="preserve">, la conception et la réalisation du projet doivent également reposer sur des </w:t>
      </w:r>
      <w:r>
        <w:rPr>
          <w:rFonts w:ascii="Garamond" w:hAnsi="Garamond"/>
          <w:color w:val="254061" w:themeColor="accent1" w:themeShade="80"/>
          <w:sz w:val="28"/>
          <w:szCs w:val="28"/>
          <w:u w:val="single"/>
        </w:rPr>
        <w:t>compétences managériales</w:t>
      </w:r>
      <w:r>
        <w:rPr>
          <w:rFonts w:ascii="Garamond" w:hAnsi="Garamond"/>
          <w:color w:val="254061" w:themeColor="accent1" w:themeShade="80"/>
          <w:sz w:val="28"/>
          <w:szCs w:val="28"/>
        </w:rPr>
        <w:t xml:space="preserve"> </w:t>
      </w:r>
      <w:r>
        <w:rPr>
          <w:rFonts w:ascii="Garamond" w:hAnsi="Garamond"/>
          <w:sz w:val="28"/>
          <w:szCs w:val="28"/>
        </w:rPr>
        <w:t xml:space="preserve">telles que la gestion d’équipes, la gestion du temps, la gestion du budget….  </w:t>
      </w:r>
    </w:p>
    <w:p>
      <w:pPr>
        <w:pStyle w:val="18"/>
        <w:numPr>
          <w:ilvl w:val="0"/>
          <w:numId w:val="9"/>
        </w:numPr>
        <w:spacing w:after="160"/>
        <w:jc w:val="both"/>
        <w:rPr>
          <w:rFonts w:ascii="Garamond" w:hAnsi="Garamond"/>
          <w:sz w:val="28"/>
          <w:szCs w:val="28"/>
        </w:rPr>
      </w:pPr>
      <w:r>
        <w:rPr>
          <w:rFonts w:ascii="Garamond" w:hAnsi="Garamond"/>
          <w:sz w:val="28"/>
          <w:szCs w:val="28"/>
        </w:rPr>
        <w:t>Les projets proposés devront être de nature recherche et développement, c’est pour cela qu’il ne sera retenu que les projets proposant un produit ayant un niveau de maturité technologique (TRL) supérieur ou égal à 03. Le niveau de maturité scientifique ne peut être considéré comme ayant une maturité technologique.</w:t>
      </w:r>
    </w:p>
    <w:p>
      <w:pPr>
        <w:pStyle w:val="3"/>
        <w:numPr>
          <w:ilvl w:val="1"/>
          <w:numId w:val="7"/>
        </w:numPr>
        <w:rPr>
          <w:color w:val="008037"/>
          <w:sz w:val="28"/>
          <w:szCs w:val="28"/>
        </w:rPr>
      </w:pPr>
      <w:bookmarkStart w:id="40" w:name="_Toc68445529"/>
      <w:bookmarkStart w:id="41" w:name="_Toc70870419"/>
      <w:bookmarkStart w:id="42" w:name="_Toc70942474"/>
      <w:r>
        <w:rPr>
          <w:color w:val="008037"/>
          <w:sz w:val="28"/>
          <w:szCs w:val="28"/>
        </w:rPr>
        <w:t>Etapes de conception du projet :</w:t>
      </w:r>
      <w:bookmarkEnd w:id="40"/>
      <w:bookmarkEnd w:id="41"/>
      <w:bookmarkEnd w:id="42"/>
    </w:p>
    <w:p>
      <w:pPr>
        <w:pStyle w:val="18"/>
        <w:numPr>
          <w:ilvl w:val="0"/>
          <w:numId w:val="10"/>
        </w:numPr>
        <w:spacing w:after="160"/>
        <w:jc w:val="both"/>
        <w:rPr>
          <w:rFonts w:ascii="Garamond" w:hAnsi="Garamond"/>
          <w:sz w:val="28"/>
          <w:szCs w:val="28"/>
        </w:rPr>
      </w:pPr>
      <w:r>
        <w:rPr>
          <w:rFonts w:ascii="Garamond" w:hAnsi="Garamond"/>
          <w:sz w:val="28"/>
          <w:szCs w:val="28"/>
        </w:rPr>
        <w:t xml:space="preserve">Les chercheurs, en tant que citoyens concernés, sont invités à initier des démarches auprès des différents établissements socio-économiques en Algérie visant à identifier les besoins réels qui seront traduits en un projet structuré dans le cadre du programme national de recherche. Certains établissements ont déjà des problématiques clairement formulées (exemple : les établissements du secteur des ressources en eau ou du secteur de l’énergie…).  </w:t>
      </w:r>
    </w:p>
    <w:p>
      <w:pPr>
        <w:pStyle w:val="18"/>
        <w:numPr>
          <w:ilvl w:val="0"/>
          <w:numId w:val="10"/>
        </w:numPr>
        <w:spacing w:after="160"/>
        <w:jc w:val="both"/>
        <w:rPr>
          <w:rFonts w:ascii="Garamond" w:hAnsi="Garamond"/>
          <w:sz w:val="28"/>
          <w:szCs w:val="28"/>
        </w:rPr>
      </w:pPr>
      <w:r>
        <w:rPr>
          <w:rFonts w:ascii="Garamond" w:hAnsi="Garamond"/>
          <w:sz w:val="28"/>
          <w:szCs w:val="28"/>
        </w:rPr>
        <w:t>La conception du projet se fera suite aux besoins exprimés par le partenaire socio-économique dans lequel il sera précisé le problème à résoudre. Les solutions et les produits attendus devront être réalisés conformément aux exigences du partenaire socio-économique.</w:t>
      </w:r>
    </w:p>
    <w:p>
      <w:pPr>
        <w:pStyle w:val="18"/>
        <w:numPr>
          <w:ilvl w:val="0"/>
          <w:numId w:val="10"/>
        </w:numPr>
        <w:spacing w:after="160"/>
        <w:jc w:val="both"/>
        <w:rPr>
          <w:rFonts w:ascii="Garamond" w:hAnsi="Garamond"/>
          <w:sz w:val="28"/>
          <w:szCs w:val="28"/>
        </w:rPr>
      </w:pPr>
      <w:r>
        <w:rPr>
          <w:rFonts w:ascii="Garamond" w:hAnsi="Garamond"/>
          <w:sz w:val="28"/>
          <w:szCs w:val="28"/>
        </w:rPr>
        <w:t>Dans la conception du projet, il devra être pris en considération les infrastructures et les équipements disponibles dans les établissements partenaires et/ou autres établissements au niveau national car le budget alloué au projet est un budget de fonctionnement.</w:t>
      </w:r>
    </w:p>
    <w:p>
      <w:pPr>
        <w:pStyle w:val="18"/>
        <w:numPr>
          <w:ilvl w:val="0"/>
          <w:numId w:val="10"/>
        </w:numPr>
        <w:spacing w:after="160"/>
        <w:jc w:val="both"/>
        <w:rPr>
          <w:rFonts w:ascii="Garamond" w:hAnsi="Garamond"/>
          <w:sz w:val="28"/>
          <w:szCs w:val="28"/>
        </w:rPr>
      </w:pPr>
      <w:r>
        <w:rPr>
          <w:rFonts w:ascii="Garamond" w:hAnsi="Garamond"/>
          <w:sz w:val="28"/>
          <w:szCs w:val="28"/>
        </w:rPr>
        <w:t xml:space="preserve">Dans la conception du projet, les membres devront faire une étude précise en respectant la faisabilité du projet dans les délais impartis (soit un échéancier sur 36 mois). </w:t>
      </w:r>
    </w:p>
    <w:p>
      <w:pPr>
        <w:pStyle w:val="18"/>
        <w:numPr>
          <w:ilvl w:val="0"/>
          <w:numId w:val="10"/>
        </w:numPr>
        <w:spacing w:after="160"/>
        <w:jc w:val="both"/>
        <w:rPr>
          <w:rFonts w:ascii="Garamond" w:hAnsi="Garamond"/>
          <w:sz w:val="28"/>
          <w:szCs w:val="28"/>
        </w:rPr>
      </w:pPr>
      <w:r>
        <w:rPr>
          <w:rFonts w:ascii="Garamond" w:hAnsi="Garamond"/>
          <w:sz w:val="28"/>
          <w:szCs w:val="28"/>
        </w:rPr>
        <w:t>L’établissement socio-économique est le propriétaire du projet, il s’engage à compléter le formulaire attestant qu’il découle de ses besoins. De plus, l’exécution du projet devra être incluse dans son programme de travail et il devra tout mettre en œuvre pour sa réussite.</w:t>
      </w:r>
    </w:p>
    <w:p>
      <w:pPr>
        <w:pStyle w:val="18"/>
        <w:numPr>
          <w:ilvl w:val="0"/>
          <w:numId w:val="10"/>
        </w:numPr>
        <w:spacing w:after="160"/>
        <w:jc w:val="both"/>
        <w:rPr>
          <w:rFonts w:ascii="Garamond" w:hAnsi="Garamond"/>
          <w:sz w:val="28"/>
          <w:szCs w:val="28"/>
        </w:rPr>
      </w:pPr>
      <w:r>
        <w:rPr>
          <w:rFonts w:ascii="Garamond" w:hAnsi="Garamond"/>
          <w:sz w:val="28"/>
          <w:szCs w:val="28"/>
        </w:rPr>
        <w:t>Les activités du projet devront être clairement prédéfinies, elles seront réparties entre tous les membres de l’équipe dans la mesure où l’évaluation annuelle des travaux se fera individuellement. De plus, la rétribution des membres de l’équipe se fera sur cette base.</w:t>
      </w:r>
    </w:p>
    <w:p>
      <w:pPr>
        <w:pStyle w:val="18"/>
        <w:numPr>
          <w:ilvl w:val="0"/>
          <w:numId w:val="10"/>
        </w:numPr>
        <w:spacing w:after="160"/>
        <w:jc w:val="both"/>
        <w:rPr>
          <w:rFonts w:ascii="Garamond" w:hAnsi="Garamond"/>
          <w:sz w:val="28"/>
          <w:szCs w:val="28"/>
        </w:rPr>
      </w:pPr>
      <w:r>
        <w:rPr>
          <w:rFonts w:ascii="Garamond" w:hAnsi="Garamond"/>
          <w:sz w:val="28"/>
          <w:szCs w:val="28"/>
        </w:rPr>
        <w:t>Les établissements d’enseignement et de formation ainsi que les établissements de recherche sont considérés comme étant des établissements de domiciliation des projets, notamment en ce qui concerne la gestion des crédits.</w:t>
      </w:r>
    </w:p>
    <w:p>
      <w:pPr>
        <w:pStyle w:val="3"/>
        <w:numPr>
          <w:ilvl w:val="1"/>
          <w:numId w:val="7"/>
        </w:numPr>
        <w:rPr>
          <w:color w:val="008037"/>
          <w:sz w:val="28"/>
          <w:szCs w:val="28"/>
        </w:rPr>
      </w:pPr>
      <w:bookmarkStart w:id="43" w:name="_Toc68445530"/>
      <w:bookmarkStart w:id="44" w:name="_Toc70870420"/>
      <w:bookmarkStart w:id="45" w:name="_Toc70942475"/>
      <w:r>
        <w:rPr>
          <w:color w:val="008037"/>
          <w:sz w:val="28"/>
          <w:szCs w:val="28"/>
        </w:rPr>
        <w:t>La soumission des projets :</w:t>
      </w:r>
      <w:bookmarkEnd w:id="43"/>
      <w:bookmarkEnd w:id="44"/>
      <w:bookmarkEnd w:id="45"/>
      <w:r>
        <w:rPr>
          <w:color w:val="008037"/>
          <w:sz w:val="28"/>
          <w:szCs w:val="28"/>
        </w:rPr>
        <w:t xml:space="preserve"> </w:t>
      </w:r>
    </w:p>
    <w:p>
      <w:pPr>
        <w:jc w:val="both"/>
        <w:rPr>
          <w:rFonts w:ascii="Garamond" w:hAnsi="Garamond"/>
          <w:sz w:val="28"/>
          <w:szCs w:val="28"/>
        </w:rPr>
      </w:pPr>
      <w:r>
        <w:rPr>
          <w:rFonts w:ascii="Garamond" w:hAnsi="Garamond"/>
          <w:sz w:val="28"/>
          <w:szCs w:val="28"/>
        </w:rPr>
        <w:t xml:space="preserve">La soumission des projets se fera à partir du </w:t>
      </w:r>
      <w:r>
        <w:rPr>
          <w:rFonts w:ascii="Garamond" w:hAnsi="Garamond"/>
          <w:b/>
          <w:bCs/>
          <w:sz w:val="28"/>
          <w:szCs w:val="28"/>
          <w:u w:val="single"/>
        </w:rPr>
        <w:t>05 avril 2022</w:t>
      </w:r>
      <w:r>
        <w:rPr>
          <w:rFonts w:ascii="Garamond" w:hAnsi="Garamond"/>
          <w:sz w:val="28"/>
          <w:szCs w:val="28"/>
        </w:rPr>
        <w:t xml:space="preserve">. Un canevas de présentation du projet devra être complété à travers la plateforme numérique </w:t>
      </w:r>
      <w:r>
        <w:fldChar w:fldCharType="begin"/>
      </w:r>
      <w:r>
        <w:instrText xml:space="preserve"> HYPERLINK "http://www.pnr.dgrst.dz" </w:instrText>
      </w:r>
      <w:r>
        <w:fldChar w:fldCharType="separate"/>
      </w:r>
      <w:r>
        <w:rPr>
          <w:rStyle w:val="7"/>
          <w:rFonts w:ascii="Garamond" w:hAnsi="Garamond"/>
          <w:b/>
          <w:bCs/>
          <w:sz w:val="28"/>
          <w:szCs w:val="28"/>
        </w:rPr>
        <w:t>www.pnr.dgrst.dz</w:t>
      </w:r>
      <w:r>
        <w:rPr>
          <w:rStyle w:val="7"/>
          <w:rFonts w:ascii="Garamond" w:hAnsi="Garamond"/>
          <w:b/>
          <w:bCs/>
          <w:sz w:val="28"/>
          <w:szCs w:val="28"/>
        </w:rPr>
        <w:fldChar w:fldCharType="end"/>
      </w:r>
      <w:r>
        <w:rPr>
          <w:rFonts w:ascii="Garamond" w:hAnsi="Garamond"/>
          <w:b/>
          <w:bCs/>
          <w:sz w:val="28"/>
          <w:szCs w:val="28"/>
        </w:rPr>
        <w:t>,</w:t>
      </w:r>
      <w:r>
        <w:rPr>
          <w:rFonts w:ascii="Garamond" w:hAnsi="Garamond"/>
          <w:sz w:val="28"/>
          <w:szCs w:val="28"/>
        </w:rPr>
        <w:t xml:space="preserve"> il comprendra les éléments fondamentaux suivants :</w:t>
      </w:r>
    </w:p>
    <w:p>
      <w:pPr>
        <w:spacing w:after="0"/>
        <w:jc w:val="both"/>
        <w:rPr>
          <w:rFonts w:ascii="Garamond" w:hAnsi="Garamond"/>
          <w:color w:val="953735" w:themeColor="accent2" w:themeShade="BF"/>
          <w:sz w:val="28"/>
          <w:szCs w:val="28"/>
        </w:rPr>
      </w:pPr>
      <w:r>
        <w:rPr>
          <w:rFonts w:ascii="Garamond" w:hAnsi="Garamond"/>
          <w:b/>
          <w:color w:val="008037"/>
          <w:sz w:val="28"/>
          <w:szCs w:val="28"/>
        </w:rPr>
        <w:t>Volet 1 : identification du projet qui comprendra :</w:t>
      </w:r>
      <w:r>
        <w:rPr>
          <w:rFonts w:ascii="Garamond" w:hAnsi="Garamond"/>
          <w:color w:val="008037"/>
          <w:sz w:val="28"/>
          <w:szCs w:val="28"/>
        </w:rPr>
        <w:t xml:space="preserve"> </w:t>
      </w:r>
    </w:p>
    <w:p>
      <w:pPr>
        <w:pStyle w:val="18"/>
        <w:numPr>
          <w:ilvl w:val="0"/>
          <w:numId w:val="8"/>
        </w:numPr>
        <w:spacing w:after="160"/>
        <w:jc w:val="both"/>
        <w:rPr>
          <w:rFonts w:ascii="Garamond" w:hAnsi="Garamond"/>
          <w:sz w:val="28"/>
          <w:szCs w:val="28"/>
        </w:rPr>
      </w:pPr>
      <w:r>
        <w:rPr>
          <w:rFonts w:ascii="Garamond" w:hAnsi="Garamond"/>
          <w:sz w:val="28"/>
          <w:szCs w:val="28"/>
        </w:rPr>
        <w:t>des informations générales sur le projet qui précise le niveau de maturité technologique du produit à partir duquel le projet devra démarrer (TRL&gt;3) ;</w:t>
      </w:r>
    </w:p>
    <w:p>
      <w:pPr>
        <w:pStyle w:val="18"/>
        <w:numPr>
          <w:ilvl w:val="0"/>
          <w:numId w:val="8"/>
        </w:numPr>
        <w:spacing w:after="160"/>
        <w:jc w:val="both"/>
        <w:rPr>
          <w:rFonts w:ascii="Garamond" w:hAnsi="Garamond"/>
          <w:sz w:val="28"/>
          <w:szCs w:val="28"/>
        </w:rPr>
      </w:pPr>
      <w:r>
        <w:rPr>
          <w:rFonts w:ascii="Garamond" w:hAnsi="Garamond"/>
          <w:sz w:val="28"/>
          <w:szCs w:val="28"/>
        </w:rPr>
        <w:t>une introduction : état des lieux et motivation ;</w:t>
      </w:r>
    </w:p>
    <w:p>
      <w:pPr>
        <w:pStyle w:val="18"/>
        <w:numPr>
          <w:ilvl w:val="0"/>
          <w:numId w:val="8"/>
        </w:numPr>
        <w:spacing w:after="160"/>
        <w:jc w:val="both"/>
        <w:rPr>
          <w:rFonts w:ascii="Garamond" w:hAnsi="Garamond"/>
          <w:sz w:val="28"/>
          <w:szCs w:val="28"/>
        </w:rPr>
      </w:pPr>
      <w:r>
        <w:rPr>
          <w:rFonts w:ascii="Garamond" w:hAnsi="Garamond"/>
          <w:sz w:val="28"/>
          <w:szCs w:val="28"/>
        </w:rPr>
        <w:t>la méthodologie ;</w:t>
      </w:r>
    </w:p>
    <w:p>
      <w:pPr>
        <w:pStyle w:val="18"/>
        <w:numPr>
          <w:ilvl w:val="0"/>
          <w:numId w:val="8"/>
        </w:numPr>
        <w:spacing w:after="160"/>
        <w:jc w:val="both"/>
        <w:rPr>
          <w:rFonts w:ascii="Garamond" w:hAnsi="Garamond"/>
          <w:sz w:val="28"/>
          <w:szCs w:val="28"/>
        </w:rPr>
      </w:pPr>
      <w:r>
        <w:rPr>
          <w:rFonts w:ascii="Garamond" w:hAnsi="Garamond"/>
          <w:sz w:val="28"/>
          <w:szCs w:val="28"/>
        </w:rPr>
        <w:t>les résultats attendus et</w:t>
      </w:r>
      <w:r>
        <w:rPr>
          <w:rFonts w:ascii="Garamond" w:hAnsi="Garamond"/>
          <w:sz w:val="28"/>
          <w:szCs w:val="28"/>
          <w:highlight w:val="none"/>
        </w:rPr>
        <w:t xml:space="preserve"> impact les références </w:t>
      </w:r>
      <w:r>
        <w:rPr>
          <w:rFonts w:ascii="Garamond" w:hAnsi="Garamond"/>
          <w:sz w:val="28"/>
          <w:szCs w:val="28"/>
        </w:rPr>
        <w:t>des travaux ;</w:t>
      </w:r>
    </w:p>
    <w:p>
      <w:pPr>
        <w:pStyle w:val="18"/>
        <w:numPr>
          <w:ilvl w:val="0"/>
          <w:numId w:val="8"/>
        </w:numPr>
        <w:spacing w:after="160"/>
        <w:jc w:val="both"/>
        <w:rPr>
          <w:rFonts w:ascii="Garamond" w:hAnsi="Garamond"/>
          <w:sz w:val="28"/>
          <w:szCs w:val="28"/>
        </w:rPr>
      </w:pPr>
      <w:r>
        <w:rPr>
          <w:rFonts w:ascii="Garamond" w:hAnsi="Garamond"/>
          <w:sz w:val="28"/>
          <w:szCs w:val="28"/>
        </w:rPr>
        <w:t>le planning et la répartition des tâches.</w:t>
      </w:r>
    </w:p>
    <w:p>
      <w:pPr>
        <w:jc w:val="both"/>
        <w:rPr>
          <w:rFonts w:ascii="Garamond" w:hAnsi="Garamond"/>
          <w:color w:val="008037"/>
          <w:sz w:val="28"/>
          <w:szCs w:val="28"/>
        </w:rPr>
      </w:pPr>
      <w:r>
        <w:rPr>
          <w:rFonts w:ascii="Garamond" w:hAnsi="Garamond"/>
          <w:b/>
          <w:color w:val="008037"/>
          <w:sz w:val="28"/>
          <w:szCs w:val="28"/>
        </w:rPr>
        <w:t>Volet 2 : identification de l’équipe, de sa capacité à exécuter le projet et les tâches de chaque membre dans le projet</w:t>
      </w:r>
      <w:r>
        <w:rPr>
          <w:rFonts w:ascii="Garamond" w:hAnsi="Garamond"/>
          <w:color w:val="008037"/>
          <w:sz w:val="28"/>
          <w:szCs w:val="28"/>
        </w:rPr>
        <w:t xml:space="preserve">. </w:t>
      </w:r>
    </w:p>
    <w:p>
      <w:pPr>
        <w:spacing w:after="0"/>
        <w:jc w:val="both"/>
        <w:rPr>
          <w:rFonts w:ascii="Garamond" w:hAnsi="Garamond"/>
          <w:b/>
          <w:color w:val="008037"/>
          <w:sz w:val="28"/>
          <w:szCs w:val="28"/>
        </w:rPr>
      </w:pPr>
      <w:r>
        <w:rPr>
          <w:rFonts w:ascii="Garamond" w:hAnsi="Garamond"/>
          <w:b/>
          <w:color w:val="008037"/>
          <w:sz w:val="28"/>
          <w:szCs w:val="28"/>
        </w:rPr>
        <w:t xml:space="preserve">Identification </w:t>
      </w:r>
    </w:p>
    <w:p>
      <w:pPr>
        <w:pStyle w:val="18"/>
        <w:numPr>
          <w:ilvl w:val="0"/>
          <w:numId w:val="8"/>
        </w:numPr>
        <w:spacing w:after="160"/>
        <w:jc w:val="both"/>
        <w:rPr>
          <w:rFonts w:ascii="Garamond" w:hAnsi="Garamond"/>
          <w:sz w:val="28"/>
          <w:szCs w:val="28"/>
        </w:rPr>
      </w:pPr>
      <w:r>
        <w:rPr>
          <w:rFonts w:ascii="Garamond" w:hAnsi="Garamond"/>
          <w:sz w:val="28"/>
          <w:szCs w:val="28"/>
        </w:rPr>
        <w:t>Identification du porteur de projet (chercheur ou partenaire socio-économique) ;</w:t>
      </w:r>
    </w:p>
    <w:p>
      <w:pPr>
        <w:pStyle w:val="18"/>
        <w:numPr>
          <w:ilvl w:val="0"/>
          <w:numId w:val="8"/>
        </w:numPr>
        <w:spacing w:after="160"/>
        <w:jc w:val="both"/>
        <w:rPr>
          <w:rFonts w:ascii="Garamond" w:hAnsi="Garamond"/>
          <w:sz w:val="28"/>
          <w:szCs w:val="28"/>
          <w:highlight w:val="none"/>
        </w:rPr>
      </w:pPr>
      <w:r>
        <w:rPr>
          <w:rFonts w:ascii="Garamond" w:hAnsi="Garamond"/>
          <w:sz w:val="28"/>
          <w:szCs w:val="28"/>
          <w:highlight w:val="none"/>
        </w:rPr>
        <w:t xml:space="preserve">Chercheur : </w:t>
      </w:r>
      <w:r>
        <w:rPr>
          <w:rFonts w:hint="default" w:ascii="Garamond" w:hAnsi="Garamond"/>
          <w:sz w:val="28"/>
          <w:szCs w:val="28"/>
          <w:highlight w:val="none"/>
          <w:lang w:val="fr-FR"/>
        </w:rPr>
        <w:t xml:space="preserve">minimum </w:t>
      </w:r>
      <w:r>
        <w:rPr>
          <w:rFonts w:ascii="Garamond" w:hAnsi="Garamond"/>
          <w:sz w:val="28"/>
          <w:szCs w:val="28"/>
          <w:highlight w:val="none"/>
        </w:rPr>
        <w:t xml:space="preserve">Doctorat </w:t>
      </w:r>
    </w:p>
    <w:p>
      <w:pPr>
        <w:pStyle w:val="18"/>
        <w:numPr>
          <w:ilvl w:val="0"/>
          <w:numId w:val="8"/>
        </w:numPr>
        <w:spacing w:after="160"/>
        <w:jc w:val="both"/>
        <w:rPr>
          <w:rFonts w:ascii="Garamond" w:hAnsi="Garamond"/>
          <w:sz w:val="28"/>
          <w:szCs w:val="28"/>
          <w:highlight w:val="none"/>
        </w:rPr>
      </w:pPr>
      <w:r>
        <w:rPr>
          <w:rFonts w:ascii="Garamond" w:hAnsi="Garamond"/>
          <w:sz w:val="28"/>
          <w:szCs w:val="28"/>
          <w:highlight w:val="none"/>
        </w:rPr>
        <w:t xml:space="preserve">Partenaire socio-économique : </w:t>
      </w:r>
      <w:r>
        <w:rPr>
          <w:rFonts w:hint="default" w:ascii="Garamond" w:hAnsi="Garamond"/>
          <w:sz w:val="28"/>
          <w:szCs w:val="28"/>
          <w:highlight w:val="none"/>
          <w:lang w:val="fr-FR"/>
        </w:rPr>
        <w:t xml:space="preserve">minimum </w:t>
      </w:r>
      <w:r>
        <w:rPr>
          <w:rFonts w:ascii="Garamond" w:hAnsi="Garamond"/>
          <w:sz w:val="28"/>
          <w:szCs w:val="28"/>
          <w:highlight w:val="none"/>
        </w:rPr>
        <w:t xml:space="preserve">Magister </w:t>
      </w:r>
    </w:p>
    <w:p>
      <w:pPr>
        <w:pStyle w:val="18"/>
        <w:numPr>
          <w:ilvl w:val="0"/>
          <w:numId w:val="8"/>
        </w:numPr>
        <w:spacing w:after="160"/>
        <w:jc w:val="both"/>
        <w:rPr>
          <w:rFonts w:ascii="Garamond" w:hAnsi="Garamond"/>
          <w:sz w:val="28"/>
          <w:szCs w:val="28"/>
        </w:rPr>
      </w:pPr>
      <w:r>
        <w:rPr>
          <w:rFonts w:ascii="Garamond" w:hAnsi="Garamond"/>
          <w:sz w:val="28"/>
          <w:szCs w:val="28"/>
        </w:rPr>
        <w:t>Identification des chercheurs membres impliqués dans le projet ;</w:t>
      </w:r>
    </w:p>
    <w:p>
      <w:pPr>
        <w:pStyle w:val="18"/>
        <w:numPr>
          <w:ilvl w:val="0"/>
          <w:numId w:val="8"/>
        </w:numPr>
        <w:spacing w:after="160"/>
        <w:jc w:val="both"/>
        <w:rPr>
          <w:rFonts w:ascii="Garamond" w:hAnsi="Garamond"/>
          <w:sz w:val="28"/>
          <w:szCs w:val="28"/>
        </w:rPr>
      </w:pPr>
      <w:r>
        <w:rPr>
          <w:rFonts w:ascii="Garamond" w:hAnsi="Garamond"/>
          <w:sz w:val="28"/>
          <w:szCs w:val="28"/>
          <w:lang w:eastAsia="fr-FR"/>
        </w:rPr>
        <mc:AlternateContent>
          <mc:Choice Requires="wps">
            <w:drawing>
              <wp:anchor distT="0" distB="0" distL="114300" distR="114300" simplePos="0" relativeHeight="251659264" behindDoc="0" locked="0" layoutInCell="1" allowOverlap="1">
                <wp:simplePos x="0" y="0"/>
                <wp:positionH relativeFrom="column">
                  <wp:posOffset>-128905</wp:posOffset>
                </wp:positionH>
                <wp:positionV relativeFrom="paragraph">
                  <wp:posOffset>562610</wp:posOffset>
                </wp:positionV>
                <wp:extent cx="5943600" cy="1381125"/>
                <wp:effectExtent l="0" t="0" r="25400" b="15875"/>
                <wp:wrapThrough wrapText="bothSides">
                  <wp:wrapPolygon>
                    <wp:start x="277" y="0"/>
                    <wp:lineTo x="0" y="1192"/>
                    <wp:lineTo x="0" y="21451"/>
                    <wp:lineTo x="21600" y="21451"/>
                    <wp:lineTo x="21600" y="2781"/>
                    <wp:lineTo x="21046" y="0"/>
                    <wp:lineTo x="277" y="0"/>
                  </wp:wrapPolygon>
                </wp:wrapThrough>
                <wp:docPr id="4" name="Rectangle avec un coin rogné et arrondi 4"/>
                <wp:cNvGraphicFramePr/>
                <a:graphic xmlns:a="http://schemas.openxmlformats.org/drawingml/2006/main">
                  <a:graphicData uri="http://schemas.microsoft.com/office/word/2010/wordprocessingShape">
                    <wps:wsp>
                      <wps:cNvSpPr/>
                      <wps:spPr>
                        <a:xfrm>
                          <a:off x="0" y="0"/>
                          <a:ext cx="5943600" cy="1381125"/>
                        </a:xfrm>
                        <a:prstGeom prst="snipRoundRect">
                          <a:avLst/>
                        </a:prstGeom>
                        <a:ln>
                          <a:solidFill>
                            <a:srgbClr val="008037"/>
                          </a:solidFill>
                        </a:ln>
                      </wps:spPr>
                      <wps:style>
                        <a:lnRef idx="2">
                          <a:schemeClr val="accent2"/>
                        </a:lnRef>
                        <a:fillRef idx="1">
                          <a:schemeClr val="lt1"/>
                        </a:fillRef>
                        <a:effectRef idx="0">
                          <a:schemeClr val="accent2"/>
                        </a:effectRef>
                        <a:fontRef idx="minor">
                          <a:schemeClr val="dk1"/>
                        </a:fontRef>
                      </wps:style>
                      <wps:txbx>
                        <w:txbxContent>
                          <w:p>
                            <w:pPr>
                              <w:jc w:val="both"/>
                              <w:rPr>
                                <w:rFonts w:ascii="Garamond" w:hAnsi="Garamond"/>
                                <w:sz w:val="28"/>
                                <w:szCs w:val="28"/>
                              </w:rPr>
                            </w:pPr>
                            <w:r>
                              <w:rPr>
                                <w:rFonts w:ascii="Garamond" w:hAnsi="Garamond"/>
                                <w:b/>
                                <w:color w:val="008037"/>
                                <w:sz w:val="28"/>
                                <w:szCs w:val="28"/>
                              </w:rPr>
                              <w:t>N.B :</w:t>
                            </w:r>
                            <w:r>
                              <w:rPr>
                                <w:rFonts w:ascii="Garamond" w:hAnsi="Garamond"/>
                                <w:color w:val="008037"/>
                                <w:sz w:val="28"/>
                                <w:szCs w:val="28"/>
                              </w:rPr>
                              <w:t xml:space="preserve"> </w:t>
                            </w:r>
                            <w:r>
                              <w:rPr>
                                <w:rFonts w:ascii="Garamond" w:hAnsi="Garamond"/>
                                <w:sz w:val="28"/>
                                <w:szCs w:val="28"/>
                              </w:rPr>
                              <w:t xml:space="preserve">l’équipe doit comporter au maximum 6 membres rétribués, la composante doit être équilibrée entre les chercheurs et les membres provenant des secteurs d’activité </w:t>
                            </w:r>
                            <w:r>
                              <w:rPr>
                                <w:rFonts w:ascii="Garamond" w:hAnsi="Garamond"/>
                                <w:sz w:val="28"/>
                                <w:szCs w:val="28"/>
                                <w:lang w:val="fr-FR"/>
                              </w:rPr>
                              <w:t>socio-économique</w:t>
                            </w:r>
                            <w:r>
                              <w:rPr>
                                <w:rFonts w:ascii="Garamond" w:hAnsi="Garamond"/>
                                <w:sz w:val="28"/>
                                <w:szCs w:val="28"/>
                              </w:rPr>
                              <w:t>. Si nécessaire, il est possible d’inclure d’autres membres associés non rétribués et qui pourront contribuer à la réussite du projet.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Rectangle avec un coin rogné et arrondi 4" o:spid="_x0000_s1026" style="position:absolute;left:0pt;margin-left:-10.15pt;margin-top:44.3pt;height:108.75pt;width:468pt;mso-wrap-distance-left:9pt;mso-wrap-distance-right:9pt;z-index:251659264;v-text-anchor:middle;mso-width-relative:page;mso-height-relative:page;" fillcolor="#FFFFFF [3201]" filled="t" stroked="t" coordsize="5943600,1381125" wrapcoords="277 0 0 1192 0 21451 21600 21451 21600 2781 21046 0 277 0" o:gfxdata="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kehA7ZAAAACgEAAA8AAAAAAAAA&#10;AQAgAAAAIgAAAGRycy9kb3ducmV2LnhtbFBLAQIUABQAAAAIAIdO4kBPg186ggIAABQFAAAOAAAA&#10;AAAAAAEAIAAAACgBAABkcnMvZTJvRG9jLnhtbFBLBQYAAAAABgAGAFkBAAAcBgAAAAA=&#10;" path="m230192,0l5713407,0,5943600,230192,5943600,1381125,0,1381125,0,230192c0,103060,103060,0,230192,0xe">
                <v:path textboxrect="0,0,5943600,1381125" o:connectlocs="5943600,690562;2971800,1381125;0,690562;2971800,0" o:connectangles="0,82,164,247"/>
                <v:fill on="t" focussize="0,0"/>
                <v:stroke weight="2pt" color="#008037 [3205]" joinstyle="round"/>
                <v:imagedata o:title=""/>
                <o:lock v:ext="edit" aspectratio="f"/>
                <v:textbox>
                  <w:txbxContent>
                    <w:p>
                      <w:pPr>
                        <w:jc w:val="both"/>
                        <w:rPr>
                          <w:rFonts w:ascii="Garamond" w:hAnsi="Garamond"/>
                          <w:sz w:val="28"/>
                          <w:szCs w:val="28"/>
                        </w:rPr>
                      </w:pPr>
                      <w:r>
                        <w:rPr>
                          <w:rFonts w:ascii="Garamond" w:hAnsi="Garamond"/>
                          <w:b/>
                          <w:color w:val="008037"/>
                          <w:sz w:val="28"/>
                          <w:szCs w:val="28"/>
                        </w:rPr>
                        <w:t>N.B :</w:t>
                      </w:r>
                      <w:r>
                        <w:rPr>
                          <w:rFonts w:ascii="Garamond" w:hAnsi="Garamond"/>
                          <w:color w:val="008037"/>
                          <w:sz w:val="28"/>
                          <w:szCs w:val="28"/>
                        </w:rPr>
                        <w:t xml:space="preserve"> </w:t>
                      </w:r>
                      <w:r>
                        <w:rPr>
                          <w:rFonts w:ascii="Garamond" w:hAnsi="Garamond"/>
                          <w:sz w:val="28"/>
                          <w:szCs w:val="28"/>
                        </w:rPr>
                        <w:t xml:space="preserve">l’équipe doit comporter au maximum 6 membres rétribués, la composante doit être équilibrée entre les chercheurs et les membres provenant des secteurs d’activité </w:t>
                      </w:r>
                      <w:r>
                        <w:rPr>
                          <w:rFonts w:ascii="Garamond" w:hAnsi="Garamond"/>
                          <w:sz w:val="28"/>
                          <w:szCs w:val="28"/>
                          <w:lang w:val="fr-FR"/>
                        </w:rPr>
                        <w:t>socio-économique</w:t>
                      </w:r>
                      <w:r>
                        <w:rPr>
                          <w:rFonts w:ascii="Garamond" w:hAnsi="Garamond"/>
                          <w:sz w:val="28"/>
                          <w:szCs w:val="28"/>
                        </w:rPr>
                        <w:t>. Si nécessaire, il est possible d’inclure d’autres membres associés non rétribués et qui pourront contribuer à la réussite du projet.</w:t>
                      </w:r>
                    </w:p>
                    <w:p>
                      <w:pPr>
                        <w:jc w:val="center"/>
                      </w:pPr>
                    </w:p>
                  </w:txbxContent>
                </v:textbox>
                <w10:wrap type="through"/>
              </v:shape>
            </w:pict>
          </mc:Fallback>
        </mc:AlternateContent>
      </w:r>
      <w:r>
        <w:rPr>
          <w:rFonts w:ascii="Garamond" w:hAnsi="Garamond"/>
          <w:sz w:val="28"/>
          <w:szCs w:val="28"/>
        </w:rPr>
        <w:t>Identification des partenaires socio-économiques membres impliqués dans le projet ;</w:t>
      </w:r>
    </w:p>
    <w:p>
      <w:pPr>
        <w:spacing w:after="0"/>
        <w:jc w:val="both"/>
        <w:rPr>
          <w:rFonts w:ascii="Garamond" w:hAnsi="Garamond"/>
          <w:b/>
          <w:bCs/>
          <w:color w:val="953735" w:themeColor="accent2" w:themeShade="BF"/>
          <w:sz w:val="28"/>
          <w:szCs w:val="28"/>
        </w:rPr>
      </w:pPr>
    </w:p>
    <w:p>
      <w:pPr>
        <w:spacing w:after="0"/>
        <w:jc w:val="both"/>
        <w:rPr>
          <w:rFonts w:ascii="Garamond" w:hAnsi="Garamond"/>
          <w:sz w:val="28"/>
          <w:szCs w:val="28"/>
        </w:rPr>
      </w:pPr>
      <w:r>
        <w:rPr>
          <w:rFonts w:ascii="Garamond" w:hAnsi="Garamond"/>
          <w:b/>
          <w:bCs/>
          <w:color w:val="008037"/>
          <w:sz w:val="28"/>
          <w:szCs w:val="28"/>
        </w:rPr>
        <w:t>Moyens matériels :</w:t>
      </w:r>
      <w:r>
        <w:rPr>
          <w:rFonts w:ascii="Garamond" w:hAnsi="Garamond"/>
          <w:color w:val="008037"/>
          <w:sz w:val="28"/>
          <w:szCs w:val="28"/>
        </w:rPr>
        <w:t xml:space="preserve"> </w:t>
      </w:r>
      <w:r>
        <w:rPr>
          <w:rFonts w:ascii="Garamond" w:hAnsi="Garamond"/>
          <w:sz w:val="28"/>
          <w:szCs w:val="28"/>
        </w:rPr>
        <w:t>préciser les infrastructures et les équipements disponibles au niveau des établissements partenaires ou au niveau d’autres établissements dans le pays pour l’exécution du projet.</w:t>
      </w:r>
    </w:p>
    <w:p>
      <w:pPr>
        <w:jc w:val="both"/>
        <w:rPr>
          <w:rFonts w:ascii="Garamond" w:hAnsi="Garamond"/>
          <w:b/>
          <w:bCs/>
          <w:color w:val="008037"/>
          <w:sz w:val="28"/>
          <w:szCs w:val="28"/>
        </w:rPr>
      </w:pPr>
      <w:r>
        <w:rPr>
          <w:rFonts w:ascii="Garamond" w:hAnsi="Garamond"/>
          <w:b/>
          <w:bCs/>
          <w:color w:val="008037"/>
          <w:sz w:val="28"/>
          <w:szCs w:val="28"/>
        </w:rPr>
        <w:t>Moyens financiers :</w:t>
      </w:r>
    </w:p>
    <w:p>
      <w:pPr>
        <w:jc w:val="both"/>
        <w:rPr>
          <w:rFonts w:ascii="Garamond" w:hAnsi="Garamond"/>
          <w:sz w:val="28"/>
          <w:szCs w:val="28"/>
        </w:rPr>
      </w:pPr>
      <w:r>
        <w:rPr>
          <w:rFonts w:ascii="Garamond" w:hAnsi="Garamond"/>
          <w:i/>
          <w:color w:val="008037"/>
          <w:sz w:val="28"/>
          <w:szCs w:val="28"/>
        </w:rPr>
        <w:t>Coût du projet :</w:t>
      </w:r>
      <w:r>
        <w:rPr>
          <w:rFonts w:ascii="Garamond" w:hAnsi="Garamond"/>
          <w:color w:val="008037"/>
          <w:sz w:val="28"/>
          <w:szCs w:val="28"/>
        </w:rPr>
        <w:t xml:space="preserve"> </w:t>
      </w:r>
      <w:r>
        <w:rPr>
          <w:rFonts w:ascii="Garamond" w:hAnsi="Garamond"/>
          <w:sz w:val="28"/>
          <w:szCs w:val="28"/>
        </w:rPr>
        <w:t xml:space="preserve">budget de fonctionnement de </w:t>
      </w:r>
      <w:r>
        <w:rPr>
          <w:rFonts w:ascii="Garamond" w:hAnsi="Garamond"/>
          <w:b/>
          <w:color w:val="254061" w:themeColor="accent1" w:themeShade="80"/>
          <w:sz w:val="28"/>
          <w:szCs w:val="28"/>
        </w:rPr>
        <w:t>5 000 000,00 DA</w:t>
      </w:r>
      <w:r>
        <w:rPr>
          <w:rFonts w:ascii="Garamond" w:hAnsi="Garamond"/>
          <w:sz w:val="28"/>
          <w:szCs w:val="28"/>
        </w:rPr>
        <w:t xml:space="preserve"> à répartir selon certaines rubriques de la nomenclature des dépenses.</w:t>
      </w:r>
    </w:p>
    <w:p>
      <w:pPr>
        <w:jc w:val="both"/>
        <w:rPr>
          <w:rFonts w:ascii="Garamond" w:hAnsi="Garamond"/>
          <w:sz w:val="28"/>
          <w:szCs w:val="28"/>
        </w:rPr>
      </w:pPr>
      <w:r>
        <w:rPr>
          <w:rFonts w:ascii="Garamond" w:hAnsi="Garamond"/>
          <w:sz w:val="28"/>
          <w:szCs w:val="28"/>
        </w:rPr>
        <w:t xml:space="preserve">Ce budget sera réparti comme suit : </w:t>
      </w:r>
    </w:p>
    <w:p>
      <w:pPr>
        <w:pStyle w:val="18"/>
        <w:numPr>
          <w:ilvl w:val="0"/>
          <w:numId w:val="8"/>
        </w:numPr>
        <w:spacing w:after="160"/>
        <w:jc w:val="both"/>
        <w:rPr>
          <w:rFonts w:ascii="Garamond" w:hAnsi="Garamond"/>
          <w:sz w:val="28"/>
          <w:szCs w:val="28"/>
        </w:rPr>
      </w:pPr>
      <w:r>
        <w:rPr>
          <w:rFonts w:ascii="Garamond" w:hAnsi="Garamond"/>
          <w:sz w:val="28"/>
          <w:szCs w:val="28"/>
        </w:rPr>
        <w:t>1</w:t>
      </w:r>
      <w:r>
        <w:rPr>
          <w:rFonts w:ascii="Garamond" w:hAnsi="Garamond"/>
          <w:sz w:val="28"/>
          <w:szCs w:val="28"/>
          <w:vertAlign w:val="superscript"/>
        </w:rPr>
        <w:t>re</w:t>
      </w:r>
      <w:r>
        <w:rPr>
          <w:rFonts w:ascii="Garamond" w:hAnsi="Garamond"/>
          <w:sz w:val="28"/>
          <w:szCs w:val="28"/>
        </w:rPr>
        <w:t xml:space="preserve"> année : 1</w:t>
      </w:r>
      <w:r>
        <w:rPr>
          <w:rFonts w:ascii="Garamond" w:hAnsi="Garamond"/>
          <w:sz w:val="28"/>
          <w:szCs w:val="28"/>
          <w:vertAlign w:val="superscript"/>
        </w:rPr>
        <w:t>re</w:t>
      </w:r>
      <w:r>
        <w:rPr>
          <w:rFonts w:ascii="Garamond" w:hAnsi="Garamond"/>
          <w:sz w:val="28"/>
          <w:szCs w:val="28"/>
        </w:rPr>
        <w:t xml:space="preserve"> tranche de 50% soit </w:t>
      </w:r>
      <w:r>
        <w:rPr>
          <w:rFonts w:ascii="Garamond" w:hAnsi="Garamond"/>
          <w:b/>
          <w:bCs/>
          <w:color w:val="254061" w:themeColor="accent1" w:themeShade="80"/>
          <w:sz w:val="28"/>
          <w:szCs w:val="28"/>
        </w:rPr>
        <w:t>2 500 000,00</w:t>
      </w:r>
    </w:p>
    <w:p>
      <w:pPr>
        <w:pStyle w:val="18"/>
        <w:numPr>
          <w:ilvl w:val="0"/>
          <w:numId w:val="8"/>
        </w:numPr>
        <w:spacing w:after="160"/>
        <w:jc w:val="both"/>
        <w:rPr>
          <w:rFonts w:ascii="Garamond" w:hAnsi="Garamond"/>
          <w:sz w:val="28"/>
          <w:szCs w:val="28"/>
        </w:rPr>
      </w:pPr>
      <w:r>
        <w:rPr>
          <w:rFonts w:ascii="Garamond" w:hAnsi="Garamond"/>
          <w:sz w:val="28"/>
          <w:szCs w:val="28"/>
        </w:rPr>
        <w:t>2</w:t>
      </w:r>
      <w:r>
        <w:rPr>
          <w:rFonts w:ascii="Garamond" w:hAnsi="Garamond"/>
          <w:sz w:val="28"/>
          <w:szCs w:val="28"/>
          <w:vertAlign w:val="superscript"/>
        </w:rPr>
        <w:t>e</w:t>
      </w:r>
      <w:r>
        <w:rPr>
          <w:rFonts w:ascii="Garamond" w:hAnsi="Garamond"/>
          <w:sz w:val="28"/>
          <w:szCs w:val="28"/>
        </w:rPr>
        <w:t xml:space="preserve"> année : 2</w:t>
      </w:r>
      <w:r>
        <w:rPr>
          <w:rFonts w:ascii="Garamond" w:hAnsi="Garamond"/>
          <w:sz w:val="28"/>
          <w:szCs w:val="28"/>
          <w:vertAlign w:val="superscript"/>
        </w:rPr>
        <w:t>e</w:t>
      </w:r>
      <w:r>
        <w:rPr>
          <w:rFonts w:ascii="Garamond" w:hAnsi="Garamond"/>
          <w:sz w:val="28"/>
          <w:szCs w:val="28"/>
        </w:rPr>
        <w:t xml:space="preserve"> tranche de 25% soit </w:t>
      </w:r>
      <w:r>
        <w:rPr>
          <w:rFonts w:ascii="Garamond" w:hAnsi="Garamond"/>
          <w:b/>
          <w:bCs/>
          <w:color w:val="254061" w:themeColor="accent1" w:themeShade="80"/>
          <w:sz w:val="28"/>
          <w:szCs w:val="28"/>
        </w:rPr>
        <w:t>1 250 000,00</w:t>
      </w:r>
    </w:p>
    <w:p>
      <w:pPr>
        <w:pStyle w:val="18"/>
        <w:numPr>
          <w:ilvl w:val="0"/>
          <w:numId w:val="8"/>
        </w:numPr>
        <w:spacing w:after="160"/>
        <w:jc w:val="both"/>
        <w:rPr>
          <w:rFonts w:ascii="Garamond" w:hAnsi="Garamond"/>
          <w:sz w:val="28"/>
          <w:szCs w:val="28"/>
        </w:rPr>
      </w:pPr>
      <w:r>
        <w:rPr>
          <w:rFonts w:ascii="Garamond" w:hAnsi="Garamond"/>
          <w:sz w:val="28"/>
          <w:szCs w:val="28"/>
        </w:rPr>
        <w:t>3</w:t>
      </w:r>
      <w:r>
        <w:rPr>
          <w:rFonts w:ascii="Garamond" w:hAnsi="Garamond"/>
          <w:sz w:val="28"/>
          <w:szCs w:val="28"/>
          <w:vertAlign w:val="superscript"/>
        </w:rPr>
        <w:t>e</w:t>
      </w:r>
      <w:r>
        <w:rPr>
          <w:rFonts w:ascii="Garamond" w:hAnsi="Garamond"/>
          <w:sz w:val="28"/>
          <w:szCs w:val="28"/>
        </w:rPr>
        <w:t xml:space="preserve"> année : 3</w:t>
      </w:r>
      <w:r>
        <w:rPr>
          <w:rFonts w:ascii="Garamond" w:hAnsi="Garamond"/>
          <w:sz w:val="28"/>
          <w:szCs w:val="28"/>
          <w:vertAlign w:val="superscript"/>
        </w:rPr>
        <w:t>e</w:t>
      </w:r>
      <w:r>
        <w:rPr>
          <w:rFonts w:ascii="Garamond" w:hAnsi="Garamond"/>
          <w:sz w:val="28"/>
          <w:szCs w:val="28"/>
        </w:rPr>
        <w:t xml:space="preserve"> tranche de 25% soit </w:t>
      </w:r>
      <w:r>
        <w:rPr>
          <w:rFonts w:ascii="Garamond" w:hAnsi="Garamond"/>
          <w:b/>
          <w:bCs/>
          <w:color w:val="254061" w:themeColor="accent1" w:themeShade="80"/>
          <w:sz w:val="28"/>
          <w:szCs w:val="28"/>
        </w:rPr>
        <w:t>1 250 000,00</w:t>
      </w:r>
    </w:p>
    <w:p>
      <w:pPr>
        <w:spacing w:after="160"/>
        <w:jc w:val="both"/>
        <w:rPr>
          <w:rFonts w:ascii="Garamond" w:hAnsi="Garamond"/>
          <w:sz w:val="28"/>
          <w:szCs w:val="28"/>
        </w:rPr>
      </w:pPr>
      <w:r>
        <w:rPr>
          <w:rFonts w:ascii="Garamond" w:hAnsi="Garamond"/>
          <w:sz w:val="28"/>
          <w:szCs w:val="28"/>
        </w:rPr>
        <w:t>Il s’agira dans un premier temps de remplir uniquement la partie qui concerne la 1</w:t>
      </w:r>
      <w:r>
        <w:rPr>
          <w:rFonts w:ascii="Garamond" w:hAnsi="Garamond"/>
          <w:sz w:val="28"/>
          <w:szCs w:val="28"/>
          <w:vertAlign w:val="superscript"/>
        </w:rPr>
        <w:t>re</w:t>
      </w:r>
      <w:r>
        <w:rPr>
          <w:rFonts w:ascii="Garamond" w:hAnsi="Garamond"/>
          <w:sz w:val="28"/>
          <w:szCs w:val="28"/>
        </w:rPr>
        <w:t xml:space="preserve"> tranche.</w:t>
      </w:r>
    </w:p>
    <w:p>
      <w:pPr>
        <w:jc w:val="both"/>
        <w:rPr>
          <w:rFonts w:ascii="Garamond" w:hAnsi="Garamond"/>
          <w:sz w:val="28"/>
          <w:szCs w:val="28"/>
        </w:rPr>
      </w:pPr>
      <w:r>
        <w:rPr>
          <w:rFonts w:ascii="Garamond" w:hAnsi="Garamond"/>
          <w:i/>
          <w:color w:val="008037"/>
          <w:sz w:val="28"/>
          <w:szCs w:val="28"/>
        </w:rPr>
        <w:t>Rétribution des membres du projet :</w:t>
      </w:r>
      <w:r>
        <w:rPr>
          <w:rFonts w:ascii="Garamond" w:hAnsi="Garamond"/>
          <w:color w:val="008037"/>
          <w:sz w:val="28"/>
          <w:szCs w:val="28"/>
        </w:rPr>
        <w:t xml:space="preserve"> </w:t>
      </w:r>
      <w:r>
        <w:rPr>
          <w:rFonts w:ascii="Garamond" w:hAnsi="Garamond"/>
          <w:sz w:val="28"/>
          <w:szCs w:val="28"/>
        </w:rPr>
        <w:t xml:space="preserve">la rétribution concerne les chercheurs permanents algériens en Algérie et à l’étranger, les enseignants chercheurs hospitalo-universitaires en Algérie et à l’étranger, les enseignants chercheurs en Algérie et à l’étranger, les cadres qui exercent leurs activités dans les secteurs concerné (bac +5 ou plus) (ingénieur, master, médecin…). </w:t>
      </w:r>
    </w:p>
    <w:p>
      <w:pPr>
        <w:jc w:val="both"/>
        <w:rPr>
          <w:rFonts w:ascii="Garamond" w:hAnsi="Garamond"/>
          <w:sz w:val="28"/>
          <w:szCs w:val="28"/>
        </w:rPr>
      </w:pPr>
      <w:r>
        <w:rPr>
          <w:rFonts w:ascii="Garamond" w:hAnsi="Garamond"/>
          <w:sz w:val="28"/>
          <w:szCs w:val="28"/>
        </w:rPr>
        <w:t xml:space="preserve">La rétribution annuelle sera versée ainsi : </w:t>
      </w:r>
    </w:p>
    <w:p>
      <w:pPr>
        <w:pStyle w:val="18"/>
        <w:numPr>
          <w:ilvl w:val="0"/>
          <w:numId w:val="8"/>
        </w:numPr>
        <w:spacing w:after="160"/>
        <w:jc w:val="both"/>
        <w:rPr>
          <w:rFonts w:ascii="Garamond" w:hAnsi="Garamond"/>
          <w:sz w:val="28"/>
          <w:szCs w:val="28"/>
        </w:rPr>
      </w:pPr>
      <w:r>
        <w:rPr>
          <w:rFonts w:ascii="Garamond" w:hAnsi="Garamond"/>
          <w:b/>
          <w:bCs/>
          <w:color w:val="254061" w:themeColor="accent1" w:themeShade="80"/>
          <w:sz w:val="28"/>
          <w:szCs w:val="28"/>
        </w:rPr>
        <w:t>25%</w:t>
      </w:r>
      <w:r>
        <w:rPr>
          <w:rFonts w:ascii="Garamond" w:hAnsi="Garamond"/>
          <w:color w:val="254061" w:themeColor="accent1" w:themeShade="80"/>
          <w:sz w:val="28"/>
          <w:szCs w:val="28"/>
        </w:rPr>
        <w:t xml:space="preserve"> </w:t>
      </w:r>
      <w:r>
        <w:rPr>
          <w:rFonts w:ascii="Garamond" w:hAnsi="Garamond"/>
          <w:sz w:val="28"/>
          <w:szCs w:val="28"/>
        </w:rPr>
        <w:t>après 6 mois</w:t>
      </w:r>
    </w:p>
    <w:p>
      <w:pPr>
        <w:pStyle w:val="18"/>
        <w:numPr>
          <w:ilvl w:val="0"/>
          <w:numId w:val="8"/>
        </w:numPr>
        <w:spacing w:after="160"/>
        <w:jc w:val="both"/>
        <w:rPr>
          <w:rFonts w:ascii="Garamond" w:hAnsi="Garamond"/>
          <w:sz w:val="28"/>
          <w:szCs w:val="28"/>
        </w:rPr>
      </w:pPr>
      <w:r>
        <w:rPr>
          <w:rFonts w:ascii="Garamond" w:hAnsi="Garamond"/>
          <w:b/>
          <w:bCs/>
          <w:color w:val="254061" w:themeColor="accent1" w:themeShade="80"/>
          <w:sz w:val="28"/>
          <w:szCs w:val="28"/>
        </w:rPr>
        <w:t>75%</w:t>
      </w:r>
      <w:r>
        <w:rPr>
          <w:rFonts w:ascii="Garamond" w:hAnsi="Garamond"/>
          <w:color w:val="254061" w:themeColor="accent1" w:themeShade="80"/>
          <w:sz w:val="28"/>
          <w:szCs w:val="28"/>
        </w:rPr>
        <w:t xml:space="preserve"> </w:t>
      </w:r>
      <w:r>
        <w:rPr>
          <w:rFonts w:ascii="Garamond" w:hAnsi="Garamond"/>
          <w:sz w:val="28"/>
          <w:szCs w:val="28"/>
        </w:rPr>
        <w:t>après évaluation individuelle des membres.</w:t>
      </w:r>
    </w:p>
    <w:p>
      <w:pPr>
        <w:spacing w:after="160"/>
        <w:jc w:val="both"/>
        <w:rPr>
          <w:rFonts w:ascii="Garamond" w:hAnsi="Garamond"/>
          <w:color w:val="008037"/>
          <w:sz w:val="28"/>
          <w:szCs w:val="28"/>
        </w:rPr>
      </w:pPr>
    </w:p>
    <w:p>
      <w:pPr>
        <w:jc w:val="both"/>
        <w:rPr>
          <w:rFonts w:ascii="Garamond" w:hAnsi="Garamond"/>
          <w:i/>
          <w:color w:val="008037"/>
          <w:sz w:val="28"/>
          <w:szCs w:val="28"/>
        </w:rPr>
      </w:pPr>
      <w:r>
        <w:rPr>
          <w:rFonts w:ascii="Garamond" w:hAnsi="Garamond"/>
          <w:i/>
          <w:color w:val="008037"/>
          <w:sz w:val="28"/>
          <w:szCs w:val="28"/>
        </w:rPr>
        <w:t xml:space="preserve">Les engagements des établissements concernés par le projet : </w:t>
      </w:r>
    </w:p>
    <w:p>
      <w:pPr>
        <w:pStyle w:val="18"/>
        <w:numPr>
          <w:ilvl w:val="0"/>
          <w:numId w:val="8"/>
        </w:numPr>
        <w:spacing w:after="160"/>
        <w:jc w:val="both"/>
        <w:rPr>
          <w:rFonts w:ascii="Garamond" w:hAnsi="Garamond"/>
          <w:sz w:val="28"/>
          <w:szCs w:val="28"/>
        </w:rPr>
      </w:pPr>
      <w:r>
        <w:rPr>
          <w:rFonts w:ascii="Garamond" w:hAnsi="Garamond"/>
          <w:sz w:val="28"/>
          <w:szCs w:val="28"/>
        </w:rPr>
        <w:t>Attestation de domiciliation du projet selon le modèle type du cahier des charges (voir annexe)</w:t>
      </w:r>
    </w:p>
    <w:p>
      <w:pPr>
        <w:pStyle w:val="18"/>
        <w:numPr>
          <w:ilvl w:val="0"/>
          <w:numId w:val="8"/>
        </w:numPr>
        <w:spacing w:after="160"/>
        <w:rPr>
          <w:rFonts w:ascii="Garamond" w:hAnsi="Garamond"/>
          <w:sz w:val="28"/>
          <w:szCs w:val="28"/>
        </w:rPr>
      </w:pPr>
      <w:r>
        <w:rPr>
          <w:rFonts w:ascii="Garamond" w:hAnsi="Garamond"/>
          <w:sz w:val="28"/>
          <w:szCs w:val="28"/>
        </w:rPr>
        <w:t>Engagement de l’entreprise partenaire selon le modèle type du cahier des charges (voir annexe)</w:t>
      </w:r>
    </w:p>
    <w:p>
      <w:pPr>
        <w:jc w:val="both"/>
        <w:rPr>
          <w:rFonts w:ascii="Garamond" w:hAnsi="Garamond"/>
          <w:sz w:val="28"/>
          <w:szCs w:val="28"/>
        </w:rPr>
      </w:pPr>
      <w:r>
        <w:rPr>
          <w:rFonts w:ascii="Garamond" w:hAnsi="Garamond"/>
          <w:sz w:val="28"/>
          <w:szCs w:val="28"/>
        </w:rPr>
        <w:t xml:space="preserve">Une fois le projet sélectionné, les crédits seront alloués au nom de l’équipe du projet auprès de l’établissement de domiciliation. C’est pour cela qu’une grande attention devra  être accordée par les membres du projet dans le choix de l’établissement de domiciliation. </w:t>
      </w:r>
    </w:p>
    <w:p>
      <w:pPr>
        <w:rPr>
          <w:rFonts w:ascii="Garamond" w:hAnsi="Garamond"/>
          <w:sz w:val="28"/>
          <w:szCs w:val="28"/>
        </w:rPr>
      </w:pPr>
      <w:r>
        <w:rPr>
          <w:rFonts w:ascii="Garamond" w:hAnsi="Garamond"/>
          <w:sz w:val="28"/>
          <w:szCs w:val="28"/>
        </w:rPr>
        <w:br w:type="page"/>
      </w:r>
    </w:p>
    <w:p>
      <w:pPr>
        <w:pStyle w:val="2"/>
        <w:numPr>
          <w:ilvl w:val="0"/>
          <w:numId w:val="7"/>
        </w:numPr>
        <w:spacing w:before="480" w:line="276" w:lineRule="auto"/>
        <w:rPr>
          <w:rFonts w:ascii="Garamond" w:hAnsi="Garamond" w:eastAsiaTheme="minorHAnsi" w:cstheme="minorBidi"/>
          <w:b/>
          <w:bCs/>
          <w:color w:val="008037"/>
          <w:sz w:val="36"/>
          <w:szCs w:val="36"/>
        </w:rPr>
      </w:pPr>
      <w:bookmarkStart w:id="46" w:name="_Toc70870421"/>
      <w:bookmarkStart w:id="47" w:name="_Toc70942476"/>
      <w:r>
        <w:rPr>
          <w:rFonts w:ascii="Garamond" w:hAnsi="Garamond" w:eastAsiaTheme="minorHAnsi" w:cstheme="minorBidi"/>
          <w:b/>
          <w:bCs/>
          <w:color w:val="008037"/>
          <w:sz w:val="36"/>
          <w:szCs w:val="36"/>
        </w:rPr>
        <w:t>Critères d’</w:t>
      </w:r>
      <w:bookmarkEnd w:id="46"/>
      <w:r>
        <w:rPr>
          <w:rFonts w:ascii="Garamond" w:hAnsi="Garamond" w:eastAsiaTheme="minorHAnsi" w:cstheme="minorBidi"/>
          <w:b/>
          <w:bCs/>
          <w:color w:val="008037"/>
          <w:sz w:val="36"/>
          <w:szCs w:val="36"/>
        </w:rPr>
        <w:t>expertise</w:t>
      </w:r>
      <w:bookmarkEnd w:id="47"/>
      <w:r>
        <w:rPr>
          <w:rFonts w:ascii="Garamond" w:hAnsi="Garamond" w:eastAsiaTheme="minorHAnsi" w:cstheme="minorBidi"/>
          <w:b/>
          <w:bCs/>
          <w:color w:val="008037"/>
          <w:sz w:val="36"/>
          <w:szCs w:val="36"/>
        </w:rPr>
        <w:t xml:space="preserve"> selon l’arrêté</w:t>
      </w:r>
      <w:r>
        <w:rPr>
          <w:color w:val="008037"/>
        </w:rPr>
        <w:t xml:space="preserve"> </w:t>
      </w:r>
      <w:r>
        <w:rPr>
          <w:rFonts w:ascii="Garamond" w:hAnsi="Garamond" w:eastAsiaTheme="minorHAnsi" w:cstheme="minorBidi"/>
          <w:b/>
          <w:bCs/>
          <w:color w:val="008037"/>
          <w:sz w:val="36"/>
          <w:szCs w:val="36"/>
        </w:rPr>
        <w:t xml:space="preserve">fixant les modalités de sélection des projets de recherche </w:t>
      </w:r>
    </w:p>
    <w:p>
      <w:pPr>
        <w:jc w:val="both"/>
        <w:rPr>
          <w:rFonts w:ascii="Garamond" w:hAnsi="Garamond"/>
          <w:sz w:val="28"/>
          <w:szCs w:val="28"/>
        </w:rPr>
      </w:pPr>
      <w:r>
        <w:rPr>
          <w:rFonts w:ascii="Garamond" w:hAnsi="Garamond"/>
          <w:sz w:val="28"/>
          <w:szCs w:val="28"/>
        </w:rPr>
        <w:t>La sélection des projets se fait en deux étapes :</w:t>
      </w:r>
    </w:p>
    <w:p>
      <w:pPr>
        <w:pStyle w:val="18"/>
        <w:numPr>
          <w:ilvl w:val="0"/>
          <w:numId w:val="8"/>
        </w:numPr>
        <w:jc w:val="both"/>
        <w:rPr>
          <w:rFonts w:ascii="Garamond" w:hAnsi="Garamond"/>
          <w:sz w:val="28"/>
          <w:szCs w:val="28"/>
        </w:rPr>
      </w:pPr>
      <w:r>
        <w:rPr>
          <w:rFonts w:ascii="Garamond" w:hAnsi="Garamond"/>
          <w:sz w:val="28"/>
          <w:szCs w:val="28"/>
        </w:rPr>
        <w:t>La sélection scientifique des projets par des experts ;</w:t>
      </w:r>
    </w:p>
    <w:p>
      <w:pPr>
        <w:pStyle w:val="18"/>
        <w:numPr>
          <w:ilvl w:val="0"/>
          <w:numId w:val="8"/>
        </w:numPr>
        <w:spacing w:after="0"/>
        <w:jc w:val="both"/>
        <w:rPr>
          <w:rFonts w:ascii="Garamond" w:hAnsi="Garamond"/>
          <w:sz w:val="28"/>
          <w:szCs w:val="28"/>
        </w:rPr>
      </w:pPr>
      <w:r>
        <w:rPr>
          <w:rFonts w:ascii="Garamond" w:hAnsi="Garamond"/>
          <w:sz w:val="28"/>
          <w:szCs w:val="28"/>
        </w:rPr>
        <w:t>La sélection définitive par la commission intersectorielle concernée par la thématique du projet.</w:t>
      </w:r>
      <w:bookmarkStart w:id="48" w:name="_Toc68445531"/>
      <w:bookmarkStart w:id="49" w:name="_Toc70870422"/>
      <w:bookmarkStart w:id="50" w:name="_Toc70942477"/>
    </w:p>
    <w:p>
      <w:pPr>
        <w:pStyle w:val="18"/>
        <w:numPr>
          <w:ilvl w:val="1"/>
          <w:numId w:val="7"/>
        </w:numPr>
        <w:jc w:val="both"/>
        <w:rPr>
          <w:rFonts w:ascii="Garamond" w:hAnsi="Garamond"/>
          <w:color w:val="008037"/>
          <w:sz w:val="24"/>
          <w:szCs w:val="24"/>
        </w:rPr>
      </w:pPr>
      <w:r>
        <w:rPr>
          <w:rFonts w:ascii="Garamond" w:hAnsi="Garamond" w:eastAsia="SimSun" w:cs="Calibri"/>
          <w:b/>
          <w:bCs/>
          <w:color w:val="008037"/>
          <w:sz w:val="28"/>
          <w:szCs w:val="28"/>
          <w:u w:val="single"/>
          <w:lang w:bidi="ar-DZ"/>
        </w:rPr>
        <w:t>Les critères d'examen scientifique du projet par les experts</w:t>
      </w:r>
      <w:r>
        <w:rPr>
          <w:rFonts w:ascii="Garamond" w:hAnsi="Garamond" w:eastAsia="SimSun" w:cs="Calibri"/>
          <w:b/>
          <w:bCs/>
          <w:color w:val="008037"/>
          <w:sz w:val="28"/>
          <w:szCs w:val="28"/>
          <w:lang w:bidi="ar-DZ"/>
        </w:rPr>
        <w:t> :</w:t>
      </w:r>
    </w:p>
    <w:tbl>
      <w:tblPr>
        <w:tblStyle w:val="16"/>
        <w:tblW w:w="1055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6"/>
        <w:gridCol w:w="567"/>
        <w:gridCol w:w="567"/>
        <w:gridCol w:w="567"/>
        <w:gridCol w:w="567"/>
        <w:gridCol w:w="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exact"/>
        </w:trPr>
        <w:tc>
          <w:tcPr>
            <w:tcW w:w="7656" w:type="dxa"/>
            <w:vMerge w:val="restart"/>
            <w:shd w:val="clear" w:color="auto" w:fill="D9D9D9"/>
          </w:tcPr>
          <w:p>
            <w:pPr>
              <w:spacing w:after="0" w:line="240" w:lineRule="auto"/>
              <w:jc w:val="center"/>
              <w:rPr>
                <w:rFonts w:ascii="Garamond" w:hAnsi="Garamond" w:eastAsia="Times New Roman" w:cs="Times New Roman"/>
                <w:b/>
                <w:bCs/>
                <w:sz w:val="40"/>
                <w:szCs w:val="40"/>
              </w:rPr>
            </w:pPr>
            <w:r>
              <w:rPr>
                <w:rFonts w:ascii="Garamond" w:hAnsi="Garamond" w:eastAsia="Times New Roman" w:cs="Calibri"/>
                <w:b/>
                <w:bCs/>
                <w:sz w:val="32"/>
                <w:szCs w:val="32"/>
              </w:rPr>
              <w:t>CRITERES</w:t>
            </w:r>
          </w:p>
        </w:tc>
        <w:tc>
          <w:tcPr>
            <w:tcW w:w="2894" w:type="dxa"/>
            <w:gridSpan w:val="5"/>
            <w:shd w:val="clear" w:color="auto" w:fill="D9D9D9"/>
          </w:tcPr>
          <w:p>
            <w:pPr>
              <w:spacing w:after="0" w:line="240" w:lineRule="auto"/>
              <w:jc w:val="center"/>
              <w:rPr>
                <w:rFonts w:ascii="Garamond" w:hAnsi="Garamond" w:eastAsia="SimSun" w:cs="Times New Roman"/>
                <w:b/>
                <w:bCs/>
              </w:rPr>
            </w:pPr>
            <w:r>
              <w:rPr>
                <w:rFonts w:ascii="Garamond" w:hAnsi="Garamond" w:eastAsia="Times New Roman" w:cs="Calibri"/>
                <w:b/>
                <w:bCs/>
                <w:sz w:val="24"/>
                <w:szCs w:val="24"/>
              </w:rPr>
              <w:t>Note attribuée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exact"/>
        </w:trPr>
        <w:tc>
          <w:tcPr>
            <w:tcW w:w="7656" w:type="dxa"/>
            <w:vMerge w:val="continue"/>
            <w:shd w:val="clear" w:color="auto" w:fill="D9D9D9"/>
          </w:tcPr>
          <w:p>
            <w:pPr>
              <w:spacing w:after="0" w:line="240" w:lineRule="auto"/>
              <w:rPr>
                <w:rFonts w:ascii="Garamond" w:hAnsi="Garamond" w:eastAsia="Times New Roman" w:cs="Times New Roman"/>
                <w:b/>
                <w:bCs/>
              </w:rPr>
            </w:pPr>
          </w:p>
        </w:tc>
        <w:tc>
          <w:tcPr>
            <w:tcW w:w="567" w:type="dxa"/>
            <w:shd w:val="clear" w:color="auto" w:fill="D9D9D9"/>
          </w:tcPr>
          <w:p>
            <w:pPr>
              <w:spacing w:after="0" w:line="240" w:lineRule="auto"/>
              <w:jc w:val="both"/>
              <w:rPr>
                <w:rFonts w:ascii="Garamond" w:hAnsi="Garamond" w:eastAsia="SimSun" w:cs="Times New Roman"/>
                <w:b/>
                <w:bCs/>
              </w:rPr>
            </w:pPr>
            <w:r>
              <w:rPr>
                <w:rFonts w:ascii="Garamond" w:hAnsi="Garamond" w:eastAsia="SimSun" w:cs="Times New Roman"/>
                <w:b/>
                <w:bCs/>
              </w:rPr>
              <w:t>[1]</w:t>
            </w:r>
          </w:p>
        </w:tc>
        <w:tc>
          <w:tcPr>
            <w:tcW w:w="567" w:type="dxa"/>
            <w:shd w:val="clear" w:color="auto" w:fill="D9D9D9"/>
          </w:tcPr>
          <w:p>
            <w:pPr>
              <w:spacing w:after="0" w:line="240" w:lineRule="auto"/>
              <w:jc w:val="both"/>
              <w:rPr>
                <w:rFonts w:ascii="Garamond" w:hAnsi="Garamond" w:eastAsia="SimSun" w:cs="Times New Roman"/>
                <w:b/>
                <w:bCs/>
              </w:rPr>
            </w:pPr>
            <w:r>
              <w:rPr>
                <w:rFonts w:ascii="Garamond" w:hAnsi="Garamond" w:eastAsia="SimSun" w:cs="Times New Roman"/>
                <w:b/>
                <w:bCs/>
              </w:rPr>
              <w:t>[2]</w:t>
            </w:r>
          </w:p>
        </w:tc>
        <w:tc>
          <w:tcPr>
            <w:tcW w:w="567" w:type="dxa"/>
            <w:shd w:val="clear" w:color="auto" w:fill="D9D9D9"/>
          </w:tcPr>
          <w:p>
            <w:pPr>
              <w:spacing w:after="0" w:line="240" w:lineRule="auto"/>
              <w:jc w:val="both"/>
              <w:rPr>
                <w:rFonts w:ascii="Garamond" w:hAnsi="Garamond" w:eastAsia="SimSun" w:cs="Times New Roman"/>
                <w:b/>
                <w:bCs/>
              </w:rPr>
            </w:pPr>
            <w:r>
              <w:rPr>
                <w:rFonts w:ascii="Garamond" w:hAnsi="Garamond" w:eastAsia="SimSun" w:cs="Times New Roman"/>
                <w:b/>
                <w:bCs/>
              </w:rPr>
              <w:t>[3]</w:t>
            </w:r>
          </w:p>
        </w:tc>
        <w:tc>
          <w:tcPr>
            <w:tcW w:w="567" w:type="dxa"/>
            <w:shd w:val="clear" w:color="auto" w:fill="D9D9D9"/>
          </w:tcPr>
          <w:p>
            <w:pPr>
              <w:spacing w:after="0" w:line="240" w:lineRule="auto"/>
              <w:jc w:val="both"/>
              <w:rPr>
                <w:rFonts w:ascii="Garamond" w:hAnsi="Garamond" w:eastAsia="SimSun" w:cs="Times New Roman"/>
                <w:b/>
                <w:bCs/>
              </w:rPr>
            </w:pPr>
            <w:r>
              <w:rPr>
                <w:rFonts w:ascii="Garamond" w:hAnsi="Garamond" w:eastAsia="SimSun" w:cs="Times New Roman"/>
                <w:b/>
                <w:bCs/>
              </w:rPr>
              <w:t>[4]</w:t>
            </w:r>
          </w:p>
        </w:tc>
        <w:tc>
          <w:tcPr>
            <w:tcW w:w="626" w:type="dxa"/>
            <w:shd w:val="clear" w:color="auto" w:fill="D9D9D9"/>
          </w:tcPr>
          <w:p>
            <w:pPr>
              <w:spacing w:after="0" w:line="240" w:lineRule="auto"/>
              <w:jc w:val="both"/>
              <w:rPr>
                <w:rFonts w:ascii="Garamond" w:hAnsi="Garamond" w:eastAsia="SimSun" w:cs="Times New Roman"/>
                <w:b/>
                <w:bCs/>
              </w:rPr>
            </w:pPr>
            <w:r>
              <w:rPr>
                <w:rFonts w:ascii="Garamond" w:hAnsi="Garamond" w:eastAsia="SimSun" w:cs="Times New Roman"/>
                <w:b/>
                <w:bC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1.</w:t>
            </w:r>
            <w:r>
              <w:rPr>
                <w:rFonts w:ascii="Garamond" w:hAnsi="Garamond" w:eastAsia="Times New Roman" w:cs="Calibri"/>
              </w:rPr>
              <w:t xml:space="preserve"> Adéquation du projet au regard du thème choisi dans l’appel à projets</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exact"/>
        </w:trPr>
        <w:tc>
          <w:tcPr>
            <w:tcW w:w="7656" w:type="dxa"/>
          </w:tcPr>
          <w:p>
            <w:pPr>
              <w:spacing w:after="0" w:line="240" w:lineRule="auto"/>
              <w:rPr>
                <w:rFonts w:ascii="Garamond" w:hAnsi="Garamond" w:eastAsia="Times New Roman" w:cs="Times New Roman"/>
              </w:rPr>
            </w:pPr>
            <w:r>
              <w:rPr>
                <w:rFonts w:ascii="Garamond" w:hAnsi="Garamond" w:eastAsia="Times New Roman" w:cs="Calibri"/>
                <w:b/>
                <w:bCs/>
              </w:rPr>
              <w:t>2.</w:t>
            </w:r>
            <w:r>
              <w:rPr>
                <w:rFonts w:ascii="Garamond" w:hAnsi="Garamond" w:eastAsia="Times New Roman" w:cs="Calibri"/>
              </w:rPr>
              <w:t xml:space="preserve"> Engagement du partenaire socio-économique</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3.</w:t>
            </w:r>
            <w:r>
              <w:rPr>
                <w:rFonts w:ascii="Garamond" w:hAnsi="Garamond" w:eastAsia="Times New Roman" w:cs="Calibri"/>
              </w:rPr>
              <w:t xml:space="preserve"> Qualité scientifique du projet et sa pertinence en tant que proposition de solution socio-économique </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4.</w:t>
            </w:r>
            <w:r>
              <w:rPr>
                <w:rFonts w:ascii="Garamond" w:hAnsi="Garamond" w:eastAsia="Times New Roman" w:cs="Calibri"/>
              </w:rPr>
              <w:t xml:space="preserve"> Méthodologie (approches, choix des techniques, validité de la conception)</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5.</w:t>
            </w:r>
            <w:r>
              <w:rPr>
                <w:rFonts w:ascii="Garamond" w:hAnsi="Garamond" w:eastAsia="Times New Roman" w:cs="Calibri"/>
              </w:rPr>
              <w:t xml:space="preserve"> Compétences scientifiques des participants au projet, qualité de l’équipe et cohérence du montage institutionnel</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6.</w:t>
            </w:r>
            <w:r>
              <w:rPr>
                <w:rFonts w:ascii="Garamond" w:hAnsi="Garamond" w:eastAsia="Times New Roman" w:cs="Calibri"/>
              </w:rPr>
              <w:t xml:space="preserve"> Faisabilité (programme de travail, calendrier, modalités de travail en commun)</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exact"/>
        </w:trPr>
        <w:tc>
          <w:tcPr>
            <w:tcW w:w="7656" w:type="dxa"/>
          </w:tcPr>
          <w:p>
            <w:pPr>
              <w:spacing w:after="0" w:line="240" w:lineRule="auto"/>
              <w:rPr>
                <w:rFonts w:ascii="Garamond" w:hAnsi="Garamond" w:eastAsia="Times New Roman" w:cs="Calibri"/>
              </w:rPr>
            </w:pPr>
            <w:r>
              <w:rPr>
                <w:rFonts w:ascii="Garamond" w:hAnsi="Garamond" w:eastAsia="Times New Roman" w:cs="Calibri"/>
                <w:b/>
                <w:bCs/>
              </w:rPr>
              <w:t>7.</w:t>
            </w:r>
            <w:r>
              <w:rPr>
                <w:rFonts w:ascii="Garamond" w:hAnsi="Garamond" w:eastAsia="Times New Roman" w:cs="Calibri"/>
              </w:rPr>
              <w:t xml:space="preserve"> Moyens humains, matériels et financiers</w:t>
            </w: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567" w:type="dxa"/>
          </w:tcPr>
          <w:p>
            <w:pPr>
              <w:spacing w:after="0" w:line="240" w:lineRule="auto"/>
              <w:jc w:val="center"/>
              <w:rPr>
                <w:rFonts w:ascii="Garamond" w:hAnsi="Garamond" w:eastAsia="SimSun" w:cs="Times New Roman"/>
                <w:b/>
                <w:bCs/>
              </w:rPr>
            </w:pPr>
          </w:p>
        </w:tc>
        <w:tc>
          <w:tcPr>
            <w:tcW w:w="626" w:type="dxa"/>
          </w:tcPr>
          <w:p>
            <w:pPr>
              <w:spacing w:after="0" w:line="240" w:lineRule="auto"/>
              <w:jc w:val="center"/>
              <w:rPr>
                <w:rFonts w:ascii="Garamond" w:hAnsi="Garamond" w:eastAsia="SimSu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exact"/>
        </w:trPr>
        <w:tc>
          <w:tcPr>
            <w:tcW w:w="7656" w:type="dxa"/>
          </w:tcPr>
          <w:p>
            <w:pPr>
              <w:spacing w:after="0" w:line="240" w:lineRule="auto"/>
              <w:jc w:val="center"/>
              <w:rPr>
                <w:rFonts w:ascii="Garamond" w:hAnsi="Garamond" w:eastAsia="Times New Roman" w:cs="Calibri"/>
                <w:b/>
                <w:bCs/>
              </w:rPr>
            </w:pPr>
          </w:p>
        </w:tc>
        <w:tc>
          <w:tcPr>
            <w:tcW w:w="567" w:type="dxa"/>
          </w:tcPr>
          <w:p>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[2]</w:t>
            </w:r>
          </w:p>
        </w:tc>
        <w:tc>
          <w:tcPr>
            <w:tcW w:w="567" w:type="dxa"/>
          </w:tcPr>
          <w:p>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[4]</w:t>
            </w:r>
          </w:p>
        </w:tc>
        <w:tc>
          <w:tcPr>
            <w:tcW w:w="567" w:type="dxa"/>
          </w:tcPr>
          <w:p>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[6]</w:t>
            </w:r>
          </w:p>
        </w:tc>
        <w:tc>
          <w:tcPr>
            <w:tcW w:w="567" w:type="dxa"/>
          </w:tcPr>
          <w:p>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[8]</w:t>
            </w:r>
          </w:p>
        </w:tc>
        <w:tc>
          <w:tcPr>
            <w:tcW w:w="626" w:type="dxa"/>
          </w:tcPr>
          <w:p>
            <w:pPr>
              <w:spacing w:after="0" w:line="240" w:lineRule="auto"/>
              <w:rPr>
                <w:rFonts w:ascii="Garamond" w:hAnsi="Garamond" w:eastAsia="Times New Roman" w:cs="Times New Roman"/>
                <w:b/>
                <w:bCs/>
                <w:color w:val="000000"/>
              </w:rPr>
            </w:pPr>
            <w:r>
              <w:rPr>
                <w:rFonts w:ascii="Garamond" w:hAnsi="Garamond" w:eastAsia="Times New Roman" w:cs="Times New Roman"/>
                <w:b/>
                <w:bCs/>
                <w:color w:val="00000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exact"/>
        </w:trPr>
        <w:tc>
          <w:tcPr>
            <w:tcW w:w="7656" w:type="dxa"/>
          </w:tcPr>
          <w:p>
            <w:pPr>
              <w:spacing w:after="0" w:line="240" w:lineRule="auto"/>
              <w:rPr>
                <w:rFonts w:ascii="Garamond" w:hAnsi="Garamond" w:eastAsia="Times New Roman" w:cs="Times New Roman"/>
              </w:rPr>
            </w:pPr>
            <w:r>
              <w:rPr>
                <w:rFonts w:ascii="Garamond" w:hAnsi="Garamond" w:eastAsia="Times New Roman" w:cs="Calibri"/>
                <w:b/>
                <w:bCs/>
              </w:rPr>
              <w:t>8.</w:t>
            </w:r>
            <w:r>
              <w:rPr>
                <w:rFonts w:ascii="Garamond" w:hAnsi="Garamond" w:eastAsia="Times New Roman" w:cs="Calibri"/>
              </w:rPr>
              <w:t xml:space="preserve"> Livrable, valorisation et retombées </w:t>
            </w:r>
            <w:r>
              <w:rPr>
                <w:rFonts w:ascii="Garamond" w:hAnsi="Garamond" w:eastAsia="Times New Roman" w:cs="Calibri"/>
                <w:lang w:val="fr-FR"/>
              </w:rPr>
              <w:t>socio-économique</w:t>
            </w:r>
            <w:r>
              <w:rPr>
                <w:rFonts w:hint="default" w:ascii="Garamond" w:hAnsi="Garamond" w:eastAsia="Times New Roman" w:cs="Calibri"/>
                <w:lang w:val="fr-FR"/>
              </w:rPr>
              <w:t>s</w:t>
            </w:r>
            <w:r>
              <w:rPr>
                <w:rFonts w:ascii="Garamond" w:hAnsi="Garamond" w:eastAsia="Times New Roman" w:cs="Calibri"/>
              </w:rPr>
              <w:t xml:space="preserve"> du projet</w:t>
            </w:r>
          </w:p>
        </w:tc>
        <w:tc>
          <w:tcPr>
            <w:tcW w:w="567" w:type="dxa"/>
          </w:tcPr>
          <w:p>
            <w:pPr>
              <w:spacing w:after="0" w:line="240" w:lineRule="auto"/>
              <w:rPr>
                <w:rFonts w:ascii="Garamond" w:hAnsi="Garamond" w:eastAsia="Times New Roman" w:cs="Times New Roman"/>
                <w:b/>
                <w:bCs/>
                <w:color w:val="000000"/>
              </w:rPr>
            </w:pPr>
          </w:p>
        </w:tc>
        <w:tc>
          <w:tcPr>
            <w:tcW w:w="567" w:type="dxa"/>
          </w:tcPr>
          <w:p>
            <w:pPr>
              <w:spacing w:after="0" w:line="240" w:lineRule="auto"/>
              <w:rPr>
                <w:rFonts w:ascii="Garamond" w:hAnsi="Garamond" w:eastAsia="Times New Roman" w:cs="Times New Roman"/>
                <w:b/>
                <w:bCs/>
                <w:color w:val="000000"/>
              </w:rPr>
            </w:pPr>
          </w:p>
        </w:tc>
        <w:tc>
          <w:tcPr>
            <w:tcW w:w="567" w:type="dxa"/>
          </w:tcPr>
          <w:p>
            <w:pPr>
              <w:spacing w:after="0" w:line="240" w:lineRule="auto"/>
              <w:rPr>
                <w:rFonts w:ascii="Garamond" w:hAnsi="Garamond" w:eastAsia="Times New Roman" w:cs="Times New Roman"/>
                <w:b/>
                <w:bCs/>
                <w:color w:val="000000"/>
              </w:rPr>
            </w:pPr>
          </w:p>
        </w:tc>
        <w:tc>
          <w:tcPr>
            <w:tcW w:w="567" w:type="dxa"/>
          </w:tcPr>
          <w:p>
            <w:pPr>
              <w:spacing w:after="0" w:line="240" w:lineRule="auto"/>
              <w:rPr>
                <w:rFonts w:ascii="Garamond" w:hAnsi="Garamond" w:eastAsia="Times New Roman" w:cs="Times New Roman"/>
                <w:b/>
                <w:bCs/>
                <w:color w:val="000000"/>
              </w:rPr>
            </w:pPr>
          </w:p>
        </w:tc>
        <w:tc>
          <w:tcPr>
            <w:tcW w:w="626" w:type="dxa"/>
          </w:tcPr>
          <w:p>
            <w:pPr>
              <w:spacing w:after="0" w:line="240" w:lineRule="auto"/>
              <w:rPr>
                <w:rFonts w:ascii="Garamond" w:hAnsi="Garamond" w:eastAsia="Times New Roman" w:cs="Times New Roman"/>
                <w:b/>
                <w:bCs/>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rPr>
        <w:tc>
          <w:tcPr>
            <w:tcW w:w="7656" w:type="dxa"/>
            <w:tcBorders>
              <w:top w:val="single" w:color="000000" w:sz="4" w:space="0"/>
              <w:left w:val="single" w:color="000000" w:sz="4" w:space="0"/>
              <w:bottom w:val="single" w:color="000000" w:sz="4" w:space="0"/>
              <w:right w:val="single" w:color="auto" w:sz="4" w:space="0"/>
            </w:tcBorders>
          </w:tcPr>
          <w:p>
            <w:pPr>
              <w:tabs>
                <w:tab w:val="left" w:pos="4854"/>
              </w:tabs>
              <w:spacing w:after="0" w:line="240" w:lineRule="auto"/>
              <w:jc w:val="center"/>
              <w:rPr>
                <w:rFonts w:ascii="Garamond" w:hAnsi="Garamond" w:eastAsia="Times New Roman" w:cs="Calibri"/>
                <w:b/>
                <w:bCs/>
                <w:sz w:val="28"/>
                <w:szCs w:val="28"/>
              </w:rPr>
            </w:pPr>
            <w:r>
              <w:rPr>
                <w:rFonts w:ascii="Garamond" w:hAnsi="Garamond" w:eastAsia="Times New Roman" w:cs="Calibri"/>
                <w:b/>
                <w:bCs/>
                <w:sz w:val="28"/>
                <w:szCs w:val="28"/>
              </w:rPr>
              <w:t xml:space="preserve">                                                                         </w:t>
            </w:r>
            <w:r>
              <w:rPr>
                <w:rFonts w:ascii="Garamond" w:hAnsi="Garamond" w:eastAsia="Times New Roman" w:cs="Calibri"/>
                <w:b/>
                <w:bCs/>
                <w:sz w:val="24"/>
                <w:szCs w:val="24"/>
              </w:rPr>
              <w:t>Total obtenu …/ 45</w:t>
            </w:r>
          </w:p>
        </w:tc>
        <w:tc>
          <w:tcPr>
            <w:tcW w:w="567" w:type="dxa"/>
            <w:tcBorders>
              <w:top w:val="single" w:color="auto" w:sz="4" w:space="0"/>
              <w:left w:val="single" w:color="auto" w:sz="4" w:space="0"/>
              <w:bottom w:val="single" w:color="auto" w:sz="4" w:space="0"/>
              <w:right w:val="nil"/>
            </w:tcBorders>
          </w:tcPr>
          <w:p>
            <w:pPr>
              <w:spacing w:after="0" w:line="240" w:lineRule="auto"/>
              <w:rPr>
                <w:rFonts w:ascii="Garamond" w:hAnsi="Garamond" w:eastAsia="Times New Roman" w:cs="Times New Roman"/>
                <w:b/>
                <w:bCs/>
                <w:color w:val="000000"/>
              </w:rPr>
            </w:pPr>
          </w:p>
        </w:tc>
        <w:tc>
          <w:tcPr>
            <w:tcW w:w="567" w:type="dxa"/>
            <w:tcBorders>
              <w:top w:val="single" w:color="auto" w:sz="4" w:space="0"/>
              <w:left w:val="nil"/>
              <w:bottom w:val="single" w:color="auto" w:sz="4" w:space="0"/>
              <w:right w:val="nil"/>
            </w:tcBorders>
          </w:tcPr>
          <w:p>
            <w:pPr>
              <w:spacing w:after="0" w:line="240" w:lineRule="auto"/>
              <w:rPr>
                <w:rFonts w:ascii="Garamond" w:hAnsi="Garamond" w:eastAsia="Times New Roman" w:cs="Times New Roman"/>
                <w:b/>
                <w:bCs/>
                <w:color w:val="000000"/>
              </w:rPr>
            </w:pPr>
          </w:p>
        </w:tc>
        <w:tc>
          <w:tcPr>
            <w:tcW w:w="567" w:type="dxa"/>
            <w:tcBorders>
              <w:top w:val="single" w:color="auto" w:sz="4" w:space="0"/>
              <w:left w:val="nil"/>
              <w:bottom w:val="single" w:color="auto" w:sz="4" w:space="0"/>
              <w:right w:val="nil"/>
            </w:tcBorders>
          </w:tcPr>
          <w:p>
            <w:pPr>
              <w:spacing w:after="0" w:line="240" w:lineRule="auto"/>
              <w:rPr>
                <w:rFonts w:ascii="Garamond" w:hAnsi="Garamond" w:eastAsia="Times New Roman" w:cs="Times New Roman"/>
                <w:b/>
                <w:bCs/>
                <w:color w:val="000000"/>
              </w:rPr>
            </w:pPr>
          </w:p>
        </w:tc>
        <w:tc>
          <w:tcPr>
            <w:tcW w:w="567" w:type="dxa"/>
            <w:tcBorders>
              <w:top w:val="single" w:color="auto" w:sz="4" w:space="0"/>
              <w:left w:val="nil"/>
              <w:bottom w:val="single" w:color="auto" w:sz="4" w:space="0"/>
              <w:right w:val="nil"/>
            </w:tcBorders>
          </w:tcPr>
          <w:p>
            <w:pPr>
              <w:spacing w:after="0" w:line="240" w:lineRule="auto"/>
              <w:rPr>
                <w:rFonts w:ascii="Garamond" w:hAnsi="Garamond" w:eastAsia="Times New Roman" w:cs="Times New Roman"/>
                <w:b/>
                <w:bCs/>
                <w:color w:val="000000"/>
              </w:rPr>
            </w:pPr>
          </w:p>
        </w:tc>
        <w:tc>
          <w:tcPr>
            <w:tcW w:w="626" w:type="dxa"/>
            <w:tcBorders>
              <w:top w:val="single" w:color="auto" w:sz="4" w:space="0"/>
              <w:left w:val="nil"/>
              <w:bottom w:val="single" w:color="auto" w:sz="4" w:space="0"/>
              <w:right w:val="single" w:color="auto" w:sz="4" w:space="0"/>
            </w:tcBorders>
          </w:tcPr>
          <w:p>
            <w:pPr>
              <w:spacing w:after="0" w:line="240" w:lineRule="auto"/>
              <w:rPr>
                <w:rFonts w:ascii="Garamond" w:hAnsi="Garamond" w:eastAsia="Times New Roman" w:cs="Times New Roman"/>
                <w:b/>
                <w:bCs/>
                <w:color w:val="000000"/>
              </w:rPr>
            </w:pPr>
          </w:p>
        </w:tc>
      </w:tr>
    </w:tbl>
    <w:p>
      <w:pPr>
        <w:spacing w:after="0" w:line="240" w:lineRule="auto"/>
        <w:jc w:val="both"/>
        <w:rPr>
          <w:rFonts w:ascii="Garamond" w:hAnsi="Garamond" w:eastAsia="Times New Roman" w:cs="Times New Roman"/>
          <w:b/>
          <w:bCs/>
        </w:rPr>
      </w:pPr>
    </w:p>
    <w:p>
      <w:pPr>
        <w:tabs>
          <w:tab w:val="left" w:pos="426"/>
        </w:tabs>
        <w:rPr>
          <w:rFonts w:ascii="Garamond" w:hAnsi="Garamond" w:eastAsia="Times New Roman" w:cs="Times New Roman"/>
          <w:b/>
          <w:bCs/>
          <w:color w:val="C00000"/>
          <w:sz w:val="12"/>
          <w:szCs w:val="12"/>
        </w:rPr>
      </w:pPr>
    </w:p>
    <w:p>
      <w:pPr>
        <w:pStyle w:val="18"/>
        <w:numPr>
          <w:ilvl w:val="1"/>
          <w:numId w:val="7"/>
        </w:numPr>
        <w:tabs>
          <w:tab w:val="left" w:pos="426"/>
        </w:tabs>
        <w:rPr>
          <w:rFonts w:ascii="Garamond" w:hAnsi="Garamond" w:eastAsia="SimSun" w:cs="Calibri"/>
          <w:b/>
          <w:bCs/>
          <w:color w:val="008037"/>
          <w:sz w:val="28"/>
          <w:szCs w:val="28"/>
          <w:lang w:bidi="ar-DZ"/>
        </w:rPr>
      </w:pPr>
      <w:r>
        <w:rPr>
          <w:rFonts w:ascii="Garamond" w:hAnsi="Garamond" w:eastAsia="SimSun" w:cs="Calibri"/>
          <w:b/>
          <w:bCs/>
          <w:color w:val="008037"/>
          <w:sz w:val="28"/>
          <w:szCs w:val="28"/>
          <w:u w:val="single"/>
          <w:lang w:bidi="ar-DZ"/>
        </w:rPr>
        <w:t>les critères éliminatoires du projet</w:t>
      </w:r>
      <w:r>
        <w:rPr>
          <w:rFonts w:ascii="Garamond" w:hAnsi="Garamond" w:eastAsia="SimSun" w:cs="Calibri"/>
          <w:b/>
          <w:bCs/>
          <w:color w:val="008037"/>
          <w:sz w:val="28"/>
          <w:szCs w:val="28"/>
          <w:lang w:bidi="ar-DZ"/>
        </w:rPr>
        <w:t> :</w:t>
      </w:r>
    </w:p>
    <w:p>
      <w:pPr>
        <w:spacing w:after="0" w:line="240" w:lineRule="auto"/>
        <w:jc w:val="both"/>
        <w:rPr>
          <w:rFonts w:ascii="Garamond" w:hAnsi="Garamond" w:eastAsia="Times New Roman" w:cs="Calibri"/>
          <w:sz w:val="28"/>
          <w:szCs w:val="28"/>
        </w:rPr>
      </w:pPr>
      <w:r>
        <w:rPr>
          <w:rFonts w:ascii="Garamond" w:hAnsi="Garamond" w:eastAsia="Times New Roman" w:cs="Calibri"/>
          <w:b/>
          <w:bCs/>
          <w:sz w:val="28"/>
          <w:szCs w:val="28"/>
        </w:rPr>
        <w:t>1-</w:t>
      </w:r>
      <w:r>
        <w:rPr>
          <w:rFonts w:ascii="Garamond" w:hAnsi="Garamond" w:eastAsia="Times New Roman" w:cs="Calibri"/>
          <w:sz w:val="28"/>
          <w:szCs w:val="28"/>
        </w:rPr>
        <w:t xml:space="preserve"> L’adéquation du projet au regard du thème choisi dans l’appel à projets : si la note d’expertise est inférieure à 3/5, le projet est rejeté </w:t>
      </w:r>
      <w:r>
        <w:rPr>
          <w:rFonts w:ascii="Garamond" w:hAnsi="Garamond" w:eastAsia="Times New Roman" w:cs="Calibri"/>
          <w:b/>
          <w:bCs/>
          <w:sz w:val="28"/>
          <w:szCs w:val="28"/>
        </w:rPr>
        <w:t>(</w:t>
      </w:r>
      <w:bookmarkStart w:id="63" w:name="_GoBack"/>
      <w:bookmarkEnd w:id="63"/>
      <w:r>
        <w:rPr>
          <w:rFonts w:ascii="Garamond" w:hAnsi="Garamond" w:eastAsia="Times New Roman" w:cs="Calibri"/>
          <w:b/>
          <w:bCs/>
          <w:sz w:val="28"/>
          <w:szCs w:val="28"/>
        </w:rPr>
        <w:t>rubrique éliminatoire).</w:t>
      </w:r>
    </w:p>
    <w:p>
      <w:pPr>
        <w:spacing w:after="0" w:line="240" w:lineRule="auto"/>
        <w:jc w:val="both"/>
        <w:rPr>
          <w:rFonts w:ascii="Garamond" w:hAnsi="Garamond" w:eastAsia="Times New Roman" w:cs="Calibri"/>
          <w:sz w:val="28"/>
          <w:szCs w:val="28"/>
        </w:rPr>
      </w:pPr>
    </w:p>
    <w:p>
      <w:pPr>
        <w:spacing w:after="0" w:line="240" w:lineRule="auto"/>
        <w:jc w:val="both"/>
        <w:rPr>
          <w:rFonts w:ascii="Garamond" w:hAnsi="Garamond" w:eastAsia="Times New Roman" w:cs="Calibri"/>
          <w:sz w:val="28"/>
          <w:szCs w:val="28"/>
        </w:rPr>
      </w:pPr>
      <w:r>
        <w:rPr>
          <w:rFonts w:ascii="Garamond" w:hAnsi="Garamond" w:eastAsia="Times New Roman" w:cs="Calibri"/>
          <w:b/>
          <w:bCs/>
          <w:sz w:val="28"/>
          <w:szCs w:val="28"/>
        </w:rPr>
        <w:t>2-</w:t>
      </w:r>
      <w:r>
        <w:rPr>
          <w:rFonts w:ascii="Garamond" w:hAnsi="Garamond" w:eastAsia="Times New Roman" w:cs="Calibri"/>
          <w:sz w:val="28"/>
          <w:szCs w:val="28"/>
        </w:rPr>
        <w:t xml:space="preserve"> Si le niveau de maturité technologique du produit (TRL) est inférieur à 3, le projet est rejeté </w:t>
      </w:r>
      <w:r>
        <w:rPr>
          <w:rFonts w:ascii="Garamond" w:hAnsi="Garamond" w:eastAsia="Times New Roman" w:cs="Calibri"/>
          <w:b/>
          <w:bCs/>
          <w:sz w:val="28"/>
          <w:szCs w:val="28"/>
        </w:rPr>
        <w:t>(rubrique éliminatoire).</w:t>
      </w:r>
    </w:p>
    <w:p>
      <w:pPr>
        <w:spacing w:after="0" w:line="240" w:lineRule="auto"/>
        <w:jc w:val="both"/>
        <w:rPr>
          <w:rFonts w:ascii="Garamond" w:hAnsi="Garamond" w:eastAsia="Times New Roman" w:cs="Calibri"/>
          <w:sz w:val="28"/>
          <w:szCs w:val="28"/>
        </w:rPr>
      </w:pPr>
    </w:p>
    <w:p>
      <w:pPr>
        <w:spacing w:after="0" w:line="240" w:lineRule="auto"/>
        <w:jc w:val="both"/>
        <w:rPr>
          <w:rFonts w:ascii="Garamond" w:hAnsi="Garamond" w:eastAsia="Times New Roman" w:cs="Calibri"/>
          <w:sz w:val="28"/>
          <w:szCs w:val="28"/>
        </w:rPr>
      </w:pPr>
      <w:r>
        <w:rPr>
          <w:rFonts w:ascii="Garamond" w:hAnsi="Garamond" w:eastAsia="Times New Roman" w:cs="Calibri"/>
          <w:b/>
          <w:bCs/>
          <w:sz w:val="28"/>
          <w:szCs w:val="28"/>
        </w:rPr>
        <w:t>3-</w:t>
      </w:r>
      <w:r>
        <w:rPr>
          <w:rFonts w:ascii="Garamond" w:hAnsi="Garamond" w:eastAsia="Times New Roman" w:cs="Calibri"/>
          <w:sz w:val="28"/>
          <w:szCs w:val="28"/>
        </w:rPr>
        <w:t xml:space="preserve"> Si le projet ne répond pas à une préoccupation d’un établissement socio-économique partenaire, le projet est rejeté </w:t>
      </w:r>
      <w:r>
        <w:rPr>
          <w:rFonts w:ascii="Garamond" w:hAnsi="Garamond" w:eastAsia="Times New Roman" w:cs="Calibri"/>
          <w:b/>
          <w:bCs/>
          <w:sz w:val="28"/>
          <w:szCs w:val="28"/>
        </w:rPr>
        <w:t>(rubrique éliminatoire).</w:t>
      </w:r>
    </w:p>
    <w:p>
      <w:pPr>
        <w:spacing w:after="0" w:line="240" w:lineRule="auto"/>
        <w:jc w:val="both"/>
        <w:rPr>
          <w:rFonts w:ascii="Garamond" w:hAnsi="Garamond" w:eastAsia="Times New Roman" w:cs="Calibri"/>
          <w:sz w:val="28"/>
          <w:szCs w:val="28"/>
        </w:rPr>
      </w:pPr>
    </w:p>
    <w:p>
      <w:pPr>
        <w:spacing w:after="0" w:line="240" w:lineRule="auto"/>
        <w:jc w:val="both"/>
        <w:rPr>
          <w:rFonts w:ascii="Garamond" w:hAnsi="Garamond" w:eastAsia="Times New Roman" w:cs="Calibri"/>
          <w:sz w:val="28"/>
          <w:szCs w:val="28"/>
        </w:rPr>
      </w:pPr>
      <w:r>
        <w:rPr>
          <w:rFonts w:ascii="Garamond" w:hAnsi="Garamond" w:eastAsia="Times New Roman" w:cs="Calibri"/>
          <w:b/>
          <w:bCs/>
          <w:sz w:val="28"/>
          <w:szCs w:val="28"/>
        </w:rPr>
        <w:t>4-</w:t>
      </w:r>
      <w:r>
        <w:rPr>
          <w:rFonts w:ascii="Garamond" w:hAnsi="Garamond" w:eastAsia="Times New Roman" w:cs="Calibri"/>
          <w:sz w:val="28"/>
          <w:szCs w:val="28"/>
        </w:rPr>
        <w:t xml:space="preserve"> Si la composition de l’équipe n’est pas équilibrée entre les membres ayant le statut de chercheur ou enseignant chercheur ou enseignant chercheur hospitalo-universitaire et les membres représentants du secteur socio-économique, le projet est rejeté. </w:t>
      </w:r>
    </w:p>
    <w:p>
      <w:pPr>
        <w:spacing w:after="0" w:line="240" w:lineRule="auto"/>
        <w:jc w:val="both"/>
        <w:rPr>
          <w:rFonts w:ascii="Garamond" w:hAnsi="Garamond" w:eastAsia="Times New Roman" w:cs="Calibri"/>
          <w:sz w:val="28"/>
          <w:szCs w:val="28"/>
        </w:rPr>
      </w:pPr>
    </w:p>
    <w:p>
      <w:pPr>
        <w:spacing w:after="0" w:line="240" w:lineRule="auto"/>
        <w:jc w:val="both"/>
        <w:rPr>
          <w:rFonts w:ascii="Garamond" w:hAnsi="Garamond" w:eastAsia="Times New Roman" w:cs="Calibri"/>
          <w:sz w:val="28"/>
          <w:szCs w:val="28"/>
        </w:rPr>
      </w:pPr>
      <w:r>
        <w:rPr>
          <w:rFonts w:ascii="Garamond" w:hAnsi="Garamond" w:eastAsia="Times New Roman" w:cs="Calibri"/>
          <w:b/>
          <w:bCs/>
          <w:i/>
          <w:iCs/>
          <w:color w:val="008037"/>
          <w:sz w:val="28"/>
          <w:szCs w:val="28"/>
        </w:rPr>
        <w:t>Recours :</w:t>
      </w:r>
      <w:r>
        <w:rPr>
          <w:rFonts w:ascii="Garamond" w:hAnsi="Garamond" w:eastAsia="Times New Roman" w:cs="Calibri"/>
          <w:color w:val="008037"/>
          <w:sz w:val="28"/>
          <w:szCs w:val="28"/>
        </w:rPr>
        <w:t xml:space="preserve"> </w:t>
      </w:r>
      <w:r>
        <w:rPr>
          <w:rFonts w:ascii="Garamond" w:hAnsi="Garamond" w:eastAsia="Times New Roman" w:cs="Calibri"/>
          <w:sz w:val="28"/>
          <w:szCs w:val="28"/>
        </w:rPr>
        <w:t>En cas de rejet du projet de recherche suite à l’expertise scientifique, le porteur du projet de recherche peut introduire un recours à travers la plateforme numérique dédiée aux programmes nationaux de recherche dans un délai maximal de dix (10) jours, à compter de la date de la communication des résultats.</w:t>
      </w:r>
    </w:p>
    <w:p>
      <w:pPr>
        <w:spacing w:after="0" w:line="240" w:lineRule="auto"/>
        <w:jc w:val="both"/>
        <w:rPr>
          <w:rFonts w:ascii="Garamond" w:hAnsi="Garamond" w:eastAsia="Times New Roman" w:cs="Calibri"/>
          <w:sz w:val="28"/>
          <w:szCs w:val="28"/>
        </w:rPr>
      </w:pPr>
    </w:p>
    <w:p>
      <w:pPr>
        <w:spacing w:after="0" w:line="240" w:lineRule="auto"/>
        <w:jc w:val="both"/>
        <w:rPr>
          <w:rFonts w:ascii="Garamond" w:hAnsi="Garamond" w:eastAsia="Times New Roman" w:cs="Calibri"/>
          <w:sz w:val="28"/>
          <w:szCs w:val="28"/>
        </w:rPr>
      </w:pPr>
      <w:r>
        <w:rPr>
          <w:rFonts w:ascii="Garamond" w:hAnsi="Garamond" w:eastAsia="Times New Roman" w:cs="Calibri"/>
          <w:sz w:val="28"/>
          <w:szCs w:val="28"/>
        </w:rPr>
        <w:t>Les experts de l’organe pilote se prononcent sur les recours. L’organe pilote de l’expertise scientifique peut inviter les porteurs de projets ayant soumis un recours à défendre leurs propositions de projets de recherche devant un comité d’experts constitués à cet effet.</w:t>
      </w:r>
    </w:p>
    <w:p>
      <w:pPr>
        <w:tabs>
          <w:tab w:val="left" w:pos="426"/>
        </w:tabs>
        <w:ind w:left="426"/>
        <w:rPr>
          <w:rFonts w:ascii="Garamond" w:hAnsi="Garamond" w:eastAsia="SimSun" w:cs="Calibri"/>
          <w:sz w:val="28"/>
          <w:szCs w:val="28"/>
        </w:rPr>
      </w:pPr>
    </w:p>
    <w:p>
      <w:pPr>
        <w:pStyle w:val="18"/>
        <w:numPr>
          <w:ilvl w:val="1"/>
          <w:numId w:val="7"/>
        </w:numPr>
        <w:tabs>
          <w:tab w:val="left" w:pos="426"/>
        </w:tabs>
        <w:rPr>
          <w:rFonts w:ascii="Garamond" w:hAnsi="Garamond" w:eastAsia="SimSun" w:cs="Calibri"/>
          <w:color w:val="008037"/>
          <w:sz w:val="28"/>
          <w:szCs w:val="28"/>
          <w:rtl/>
          <w:cs/>
        </w:rPr>
      </w:pPr>
      <w:r>
        <w:rPr>
          <w:rFonts w:ascii="Garamond" w:hAnsi="Garamond" w:eastAsia="SimSun" w:cs="Calibri"/>
          <w:b/>
          <w:bCs/>
          <w:color w:val="008037"/>
          <w:sz w:val="28"/>
          <w:szCs w:val="28"/>
          <w:lang w:bidi="ar-DZ"/>
        </w:rPr>
        <w:t>La sélection finale du projet de recherche PNR par les commissions  intersectorielles :</w:t>
      </w:r>
    </w:p>
    <w:p>
      <w:pPr>
        <w:ind w:left="360"/>
        <w:contextualSpacing/>
        <w:jc w:val="both"/>
        <w:rPr>
          <w:rFonts w:ascii="Garamond" w:hAnsi="Garamond" w:eastAsia="SimSun" w:cs="Calibri"/>
          <w:sz w:val="28"/>
          <w:szCs w:val="28"/>
          <w:lang w:bidi="ar-DZ"/>
        </w:rPr>
      </w:pPr>
      <w:r>
        <w:rPr>
          <w:rFonts w:ascii="Garamond" w:hAnsi="Garamond" w:eastAsia="SimSun" w:cs="Calibri"/>
          <w:sz w:val="28"/>
          <w:szCs w:val="28"/>
          <w:lang w:bidi="ar-DZ"/>
        </w:rPr>
        <w:t>Critères généraux d’acceptation définitive d’un projet PNR par la commission intersectorielle concernée :</w:t>
      </w:r>
    </w:p>
    <w:p>
      <w:pPr>
        <w:numPr>
          <w:ilvl w:val="0"/>
          <w:numId w:val="11"/>
        </w:numPr>
        <w:contextualSpacing/>
        <w:rPr>
          <w:rFonts w:ascii="Garamond" w:hAnsi="Garamond" w:eastAsia="SimSun" w:cs="Calibri"/>
          <w:sz w:val="28"/>
          <w:szCs w:val="28"/>
        </w:rPr>
      </w:pPr>
      <w:r>
        <w:rPr>
          <w:rFonts w:ascii="Garamond" w:hAnsi="Garamond" w:eastAsia="SimSun" w:cs="Calibri"/>
          <w:sz w:val="28"/>
          <w:szCs w:val="28"/>
        </w:rPr>
        <w:t>Impact du projet,</w:t>
      </w:r>
    </w:p>
    <w:p>
      <w:pPr>
        <w:numPr>
          <w:ilvl w:val="0"/>
          <w:numId w:val="11"/>
        </w:numPr>
        <w:contextualSpacing/>
        <w:rPr>
          <w:rFonts w:ascii="Garamond" w:hAnsi="Garamond" w:eastAsia="SimSun" w:cs="Calibri"/>
          <w:sz w:val="28"/>
          <w:szCs w:val="28"/>
        </w:rPr>
      </w:pPr>
      <w:r>
        <w:rPr>
          <w:rFonts w:ascii="Garamond" w:hAnsi="Garamond" w:eastAsia="SimSun" w:cs="Calibri"/>
          <w:sz w:val="28"/>
          <w:szCs w:val="28"/>
        </w:rPr>
        <w:t>Importance des livrables,</w:t>
      </w:r>
    </w:p>
    <w:p>
      <w:pPr>
        <w:numPr>
          <w:ilvl w:val="0"/>
          <w:numId w:val="11"/>
        </w:numPr>
        <w:contextualSpacing/>
        <w:rPr>
          <w:rFonts w:ascii="Garamond" w:hAnsi="Garamond" w:eastAsia="SimSun" w:cs="Calibri"/>
          <w:sz w:val="28"/>
          <w:szCs w:val="28"/>
        </w:rPr>
      </w:pPr>
      <w:r>
        <w:rPr>
          <w:rFonts w:ascii="Garamond" w:hAnsi="Garamond" w:eastAsia="SimSun" w:cs="Calibri"/>
          <w:sz w:val="28"/>
          <w:szCs w:val="28"/>
        </w:rPr>
        <w:t>Faisabilité des solutions proposées,</w:t>
      </w:r>
    </w:p>
    <w:p>
      <w:pPr>
        <w:numPr>
          <w:ilvl w:val="0"/>
          <w:numId w:val="11"/>
        </w:numPr>
        <w:contextualSpacing/>
        <w:rPr>
          <w:rFonts w:ascii="Garamond" w:hAnsi="Garamond" w:eastAsia="SimSun" w:cs="Calibri"/>
          <w:sz w:val="28"/>
          <w:szCs w:val="28"/>
        </w:rPr>
      </w:pPr>
      <w:r>
        <w:rPr>
          <w:rFonts w:ascii="Garamond" w:hAnsi="Garamond" w:eastAsia="SimSun" w:cs="Calibri"/>
          <w:sz w:val="28"/>
          <w:szCs w:val="28"/>
        </w:rPr>
        <w:t>Nécessité de l’adéquation entre le produit proposé et les préoccupations réelles du secteur socio-économique.</w:t>
      </w:r>
    </w:p>
    <w:p>
      <w:pPr>
        <w:pStyle w:val="2"/>
        <w:numPr>
          <w:ilvl w:val="0"/>
          <w:numId w:val="7"/>
        </w:numPr>
        <w:spacing w:before="480" w:line="276" w:lineRule="auto"/>
        <w:rPr>
          <w:rFonts w:ascii="Garamond" w:hAnsi="Garamond" w:eastAsiaTheme="minorHAnsi" w:cstheme="minorBidi"/>
          <w:b/>
          <w:bCs/>
          <w:color w:val="008037"/>
          <w:sz w:val="36"/>
          <w:szCs w:val="36"/>
        </w:rPr>
      </w:pPr>
      <w:r>
        <w:rPr>
          <w:rFonts w:ascii="Garamond" w:hAnsi="Garamond" w:eastAsiaTheme="minorHAnsi" w:cstheme="minorBidi"/>
          <w:b/>
          <w:bCs/>
          <w:color w:val="008037"/>
          <w:sz w:val="36"/>
          <w:szCs w:val="36"/>
        </w:rPr>
        <w:t>Contact et informations :</w:t>
      </w:r>
      <w:bookmarkEnd w:id="48"/>
      <w:bookmarkEnd w:id="49"/>
      <w:bookmarkEnd w:id="50"/>
    </w:p>
    <w:p>
      <w:pPr>
        <w:jc w:val="both"/>
        <w:rPr>
          <w:rFonts w:ascii="Garamond" w:hAnsi="Garamond"/>
          <w:b/>
          <w:bCs/>
          <w:sz w:val="24"/>
          <w:szCs w:val="24"/>
        </w:rPr>
      </w:pPr>
    </w:p>
    <w:p>
      <w:pPr>
        <w:jc w:val="both"/>
        <w:rPr>
          <w:rFonts w:ascii="Garamond" w:hAnsi="Garamond"/>
          <w:b/>
          <w:bCs/>
          <w:sz w:val="28"/>
          <w:szCs w:val="28"/>
        </w:rPr>
      </w:pPr>
      <w:r>
        <w:rPr>
          <w:rFonts w:ascii="Garamond" w:hAnsi="Garamond"/>
          <w:b/>
          <w:bCs/>
          <w:sz w:val="28"/>
          <w:szCs w:val="28"/>
        </w:rPr>
        <w:t>Direction générale de la recherche scientifique et du développement technologique</w:t>
      </w:r>
    </w:p>
    <w:p>
      <w:pPr>
        <w:jc w:val="both"/>
        <w:rPr>
          <w:rFonts w:ascii="Garamond" w:hAnsi="Garamond"/>
          <w:sz w:val="28"/>
          <w:szCs w:val="28"/>
        </w:rPr>
      </w:pPr>
      <w:r>
        <w:rPr>
          <w:rFonts w:ascii="Garamond" w:hAnsi="Garamond"/>
          <w:sz w:val="28"/>
          <w:szCs w:val="28"/>
        </w:rPr>
        <w:t>Téléphones : 021.27.98.80</w:t>
      </w:r>
    </w:p>
    <w:p>
      <w:pPr>
        <w:spacing w:after="120" w:line="360" w:lineRule="auto"/>
        <w:rPr>
          <w:rFonts w:ascii="Garamond" w:hAnsi="Garamond" w:eastAsia="Arial Unicode MS" w:cs="Times New Roman"/>
          <w:b/>
          <w:bCs/>
          <w:sz w:val="28"/>
          <w:szCs w:val="28"/>
        </w:rPr>
      </w:pPr>
      <w:r>
        <w:rPr>
          <w:rFonts w:ascii="Garamond" w:hAnsi="Garamond" w:eastAsia="Arial Unicode MS" w:cs="Times New Roman"/>
          <w:b/>
          <w:bCs/>
          <w:sz w:val="28"/>
          <w:szCs w:val="28"/>
        </w:rPr>
        <w:t>Agence thématique de recherche en sciences et technologie</w:t>
      </w:r>
    </w:p>
    <w:p>
      <w:pPr>
        <w:spacing w:after="120" w:line="360" w:lineRule="auto"/>
        <w:rPr>
          <w:rFonts w:ascii="Garamond" w:hAnsi="Garamond" w:eastAsia="Arial Unicode MS" w:cs="Times New Roman"/>
          <w:sz w:val="28"/>
          <w:szCs w:val="28"/>
        </w:rPr>
      </w:pPr>
      <w:r>
        <w:rPr>
          <w:rFonts w:ascii="Garamond" w:hAnsi="Garamond" w:eastAsia="Arial Unicode MS" w:cs="Times New Roman"/>
          <w:sz w:val="28"/>
          <w:szCs w:val="28"/>
        </w:rPr>
        <w:t>Avenue Pasteur, ENSA Ex INA, Belfort, B.P 62- Hacene Badi, El Harrach, Algérie</w:t>
      </w:r>
    </w:p>
    <w:p>
      <w:pPr>
        <w:spacing w:after="120" w:line="360" w:lineRule="auto"/>
        <w:rPr>
          <w:rFonts w:ascii="Garamond" w:hAnsi="Garamond" w:eastAsia="Arial Unicode MS" w:cs="Times New Roman"/>
          <w:sz w:val="28"/>
          <w:szCs w:val="28"/>
        </w:rPr>
      </w:pPr>
      <w:r>
        <w:rPr>
          <w:rFonts w:ascii="Garamond" w:hAnsi="Garamond" w:eastAsia="Arial Unicode MS" w:cs="Times New Roman"/>
          <w:sz w:val="28"/>
          <w:szCs w:val="28"/>
        </w:rPr>
        <w:t>Téléphone : +213 21 52 62 40</w:t>
      </w:r>
    </w:p>
    <w:p>
      <w:pPr>
        <w:spacing w:after="120" w:line="360" w:lineRule="auto"/>
        <w:rPr>
          <w:rFonts w:ascii="Garamond" w:hAnsi="Garamond" w:eastAsia="Arial Unicode MS" w:cs="Times New Roman"/>
          <w:sz w:val="28"/>
          <w:szCs w:val="28"/>
        </w:rPr>
      </w:pPr>
      <w:r>
        <w:fldChar w:fldCharType="begin"/>
      </w:r>
      <w:r>
        <w:instrText xml:space="preserve"> HYPERLINK "http://www.atrst.dz" </w:instrText>
      </w:r>
      <w:r>
        <w:fldChar w:fldCharType="separate"/>
      </w:r>
      <w:r>
        <w:rPr>
          <w:rStyle w:val="7"/>
          <w:rFonts w:ascii="Garamond" w:hAnsi="Garamond" w:eastAsia="Arial Unicode MS" w:cs="Times New Roman"/>
          <w:sz w:val="28"/>
          <w:szCs w:val="28"/>
        </w:rPr>
        <w:t>www.atrst.dz</w:t>
      </w:r>
      <w:r>
        <w:rPr>
          <w:rStyle w:val="7"/>
          <w:rFonts w:ascii="Garamond" w:hAnsi="Garamond" w:eastAsia="Arial Unicode MS" w:cs="Times New Roman"/>
          <w:sz w:val="28"/>
          <w:szCs w:val="28"/>
        </w:rPr>
        <w:fldChar w:fldCharType="end"/>
      </w:r>
      <w:r>
        <w:rPr>
          <w:rFonts w:ascii="Garamond" w:hAnsi="Garamond" w:eastAsia="Arial Unicode MS" w:cs="Times New Roman"/>
          <w:sz w:val="28"/>
          <w:szCs w:val="28"/>
        </w:rPr>
        <w:t xml:space="preserve"> </w:t>
      </w:r>
    </w:p>
    <w:p>
      <w:pPr>
        <w:spacing w:after="120" w:line="360" w:lineRule="auto"/>
        <w:jc w:val="both"/>
        <w:rPr>
          <w:rFonts w:ascii="Garamond" w:hAnsi="Garamond" w:eastAsia="Arial Unicode MS" w:cs="Times New Roman"/>
          <w:b/>
          <w:bCs/>
          <w:sz w:val="32"/>
          <w:szCs w:val="32"/>
        </w:rPr>
      </w:pPr>
    </w:p>
    <w:p>
      <w:pPr>
        <w:rPr>
          <w:rFonts w:ascii="Garamond" w:hAnsi="Garamond" w:eastAsia="Arial Unicode MS" w:cs="Times New Roman"/>
          <w:b/>
          <w:bCs/>
          <w:sz w:val="32"/>
          <w:szCs w:val="32"/>
        </w:rPr>
      </w:pPr>
      <w:r>
        <w:rPr>
          <w:rFonts w:ascii="Garamond" w:hAnsi="Garamond" w:eastAsia="Arial Unicode MS" w:cs="Times New Roman"/>
          <w:b/>
          <w:bCs/>
          <w:sz w:val="32"/>
          <w:szCs w:val="32"/>
        </w:rPr>
        <w:br w:type="page"/>
      </w:r>
    </w:p>
    <w:p>
      <w:pPr>
        <w:spacing w:after="0" w:line="240" w:lineRule="auto"/>
        <w:jc w:val="both"/>
        <w:rPr>
          <w:i/>
          <w:iCs/>
          <w:sz w:val="18"/>
          <w:szCs w:val="18"/>
        </w:rPr>
      </w:pPr>
    </w:p>
    <w:p>
      <w:pPr>
        <w:pStyle w:val="2"/>
        <w:spacing w:before="0"/>
        <w:jc w:val="center"/>
        <w:rPr>
          <w:rFonts w:ascii="Calibri" w:hAnsi="Calibri"/>
          <w:color w:val="auto"/>
        </w:rPr>
      </w:pPr>
      <w:bookmarkStart w:id="51" w:name="_Toc70870423"/>
      <w:bookmarkStart w:id="52" w:name="_Toc70942478"/>
      <w:r>
        <w:rPr>
          <w:rFonts w:hint="eastAsia" w:ascii="Calibri" w:hAnsi="Calibri"/>
          <w:color w:val="auto"/>
          <w:rtl/>
        </w:rPr>
        <w:t>الجمهوريــة</w:t>
      </w:r>
      <w:r>
        <w:rPr>
          <w:rFonts w:ascii="Calibri" w:hAnsi="Calibri"/>
          <w:color w:val="auto"/>
          <w:rtl/>
        </w:rPr>
        <w:t xml:space="preserve"> </w:t>
      </w:r>
      <w:r>
        <w:rPr>
          <w:rFonts w:hint="eastAsia" w:ascii="Calibri" w:hAnsi="Calibri"/>
          <w:color w:val="auto"/>
          <w:rtl/>
        </w:rPr>
        <w:t>الجزائريــة</w:t>
      </w:r>
      <w:r>
        <w:rPr>
          <w:rFonts w:ascii="Calibri" w:hAnsi="Calibri"/>
          <w:color w:val="auto"/>
          <w:rtl/>
        </w:rPr>
        <w:t xml:space="preserve"> </w:t>
      </w:r>
      <w:r>
        <w:rPr>
          <w:rFonts w:hint="eastAsia" w:ascii="Calibri" w:hAnsi="Calibri"/>
          <w:color w:val="auto"/>
          <w:rtl/>
        </w:rPr>
        <w:t>الديمقراطيــة</w:t>
      </w:r>
      <w:r>
        <w:rPr>
          <w:rFonts w:ascii="Calibri" w:hAnsi="Calibri"/>
          <w:color w:val="auto"/>
          <w:rtl/>
        </w:rPr>
        <w:t xml:space="preserve"> </w:t>
      </w:r>
      <w:r>
        <w:rPr>
          <w:rFonts w:hint="eastAsia" w:ascii="Calibri" w:hAnsi="Calibri"/>
          <w:color w:val="auto"/>
          <w:rtl/>
        </w:rPr>
        <w:t>الشعبيـــة</w:t>
      </w:r>
      <w:bookmarkEnd w:id="51"/>
      <w:bookmarkEnd w:id="52"/>
    </w:p>
    <w:p>
      <w:pPr>
        <w:pStyle w:val="2"/>
        <w:spacing w:before="0"/>
        <w:jc w:val="center"/>
        <w:rPr>
          <w:rFonts w:ascii="Calibri" w:hAnsi="Calibri"/>
          <w:b/>
          <w:bCs/>
          <w:color w:val="auto"/>
          <w:sz w:val="18"/>
          <w:szCs w:val="18"/>
          <w:rtl/>
          <w:lang w:bidi="ar-DZ"/>
        </w:rPr>
      </w:pPr>
      <w:bookmarkStart w:id="53" w:name="_Toc70870424"/>
      <w:bookmarkStart w:id="54" w:name="_Toc70942479"/>
      <w:r>
        <w:rPr>
          <w:rFonts w:ascii="Calibri" w:hAnsi="Calibri"/>
          <w:color w:val="auto"/>
          <w:sz w:val="18"/>
          <w:szCs w:val="18"/>
          <w:lang w:bidi="ar-DZ"/>
        </w:rPr>
        <w:t>République Algérienne Démocratique et Populaire</w:t>
      </w:r>
      <w:r>
        <w:rPr>
          <w:rFonts w:ascii="Calibri" w:hAnsi="Calibri"/>
          <w:color w:val="auto"/>
          <w:sz w:val="18"/>
          <w:szCs w:val="18"/>
          <w:lang w:bidi="ar-DZ"/>
        </w:rPr>
        <w:br w:type="textWrapping"/>
      </w:r>
      <w:r>
        <w:rPr>
          <w:rFonts w:hint="eastAsia" w:ascii="Calibri" w:hAnsi="Calibri"/>
          <w:color w:val="auto"/>
          <w:sz w:val="26"/>
          <w:szCs w:val="26"/>
          <w:rtl/>
        </w:rPr>
        <w:t>وزارة</w:t>
      </w:r>
      <w:r>
        <w:rPr>
          <w:rFonts w:ascii="Calibri" w:hAnsi="Calibri"/>
          <w:color w:val="auto"/>
          <w:sz w:val="26"/>
          <w:szCs w:val="26"/>
          <w:rtl/>
          <w:lang w:bidi="ar-DZ"/>
        </w:rPr>
        <w:t xml:space="preserve"> </w:t>
      </w:r>
      <w:r>
        <w:rPr>
          <w:rFonts w:hint="eastAsia" w:ascii="Calibri" w:hAnsi="Calibri"/>
          <w:color w:val="auto"/>
          <w:sz w:val="26"/>
          <w:szCs w:val="26"/>
          <w:rtl/>
        </w:rPr>
        <w:t>التعليــم</w:t>
      </w:r>
      <w:r>
        <w:rPr>
          <w:rFonts w:ascii="Calibri" w:hAnsi="Calibri"/>
          <w:color w:val="auto"/>
          <w:sz w:val="26"/>
          <w:szCs w:val="26"/>
          <w:rtl/>
          <w:lang w:bidi="ar-DZ"/>
        </w:rPr>
        <w:t xml:space="preserve"> </w:t>
      </w:r>
      <w:r>
        <w:rPr>
          <w:rFonts w:hint="eastAsia" w:ascii="Calibri" w:hAnsi="Calibri"/>
          <w:color w:val="auto"/>
          <w:sz w:val="26"/>
          <w:szCs w:val="26"/>
          <w:rtl/>
        </w:rPr>
        <w:t>العالــي</w:t>
      </w:r>
      <w:r>
        <w:rPr>
          <w:rFonts w:ascii="Calibri" w:hAnsi="Calibri"/>
          <w:color w:val="auto"/>
          <w:sz w:val="26"/>
          <w:szCs w:val="26"/>
          <w:rtl/>
          <w:lang w:bidi="ar-DZ"/>
        </w:rPr>
        <w:t xml:space="preserve"> </w:t>
      </w:r>
      <w:r>
        <w:rPr>
          <w:rFonts w:hint="eastAsia" w:ascii="Calibri" w:hAnsi="Calibri"/>
          <w:color w:val="auto"/>
          <w:sz w:val="26"/>
          <w:szCs w:val="26"/>
          <w:rtl/>
        </w:rPr>
        <w:t>و</w:t>
      </w:r>
      <w:r>
        <w:rPr>
          <w:rFonts w:ascii="Calibri" w:hAnsi="Calibri"/>
          <w:color w:val="auto"/>
          <w:sz w:val="26"/>
          <w:szCs w:val="26"/>
          <w:rtl/>
          <w:lang w:bidi="ar-DZ"/>
        </w:rPr>
        <w:t xml:space="preserve"> </w:t>
      </w:r>
      <w:r>
        <w:rPr>
          <w:rFonts w:hint="eastAsia" w:ascii="Calibri" w:hAnsi="Calibri"/>
          <w:color w:val="auto"/>
          <w:sz w:val="26"/>
          <w:szCs w:val="26"/>
          <w:rtl/>
        </w:rPr>
        <w:t>البحــث</w:t>
      </w:r>
      <w:r>
        <w:rPr>
          <w:rFonts w:ascii="Calibri" w:hAnsi="Calibri"/>
          <w:color w:val="auto"/>
          <w:sz w:val="26"/>
          <w:szCs w:val="26"/>
          <w:rtl/>
          <w:lang w:bidi="ar-DZ"/>
        </w:rPr>
        <w:t xml:space="preserve"> </w:t>
      </w:r>
      <w:r>
        <w:rPr>
          <w:rFonts w:hint="eastAsia" w:ascii="Calibri" w:hAnsi="Calibri"/>
          <w:color w:val="auto"/>
          <w:sz w:val="26"/>
          <w:szCs w:val="26"/>
          <w:rtl/>
        </w:rPr>
        <w:t>العلمــي</w:t>
      </w:r>
      <w:bookmarkEnd w:id="53"/>
      <w:bookmarkEnd w:id="54"/>
    </w:p>
    <w:p>
      <w:pPr>
        <w:pStyle w:val="28"/>
        <w:tabs>
          <w:tab w:val="left" w:pos="0"/>
        </w:tabs>
        <w:jc w:val="center"/>
        <w:rPr>
          <w:b/>
          <w:bCs/>
          <w:sz w:val="24"/>
          <w:szCs w:val="24"/>
          <w:lang w:bidi="ar-DZ"/>
        </w:rPr>
      </w:pPr>
      <w:r>
        <w:rPr>
          <w:sz w:val="18"/>
          <w:szCs w:val="18"/>
          <w:lang w:bidi="ar-DZ"/>
        </w:rPr>
        <w:t>Ministère de l’Enseignement Supérieur et de la Recherche Scientifique</w:t>
      </w:r>
      <w:r>
        <w:rPr>
          <w:b/>
          <w:bCs/>
          <w:sz w:val="18"/>
          <w:szCs w:val="18"/>
          <w:lang w:bidi="ar-DZ"/>
        </w:rPr>
        <w:br w:type="textWrapping"/>
      </w:r>
      <w:r>
        <w:rPr>
          <w:rFonts w:hint="eastAsia"/>
          <w:bCs/>
          <w:sz w:val="24"/>
          <w:szCs w:val="24"/>
          <w:rtl/>
        </w:rPr>
        <w:t>المديريـة</w:t>
      </w:r>
      <w:r>
        <w:rPr>
          <w:bCs/>
          <w:sz w:val="24"/>
          <w:szCs w:val="24"/>
          <w:rtl/>
          <w:lang w:bidi="ar-DZ"/>
        </w:rPr>
        <w:t xml:space="preserve"> </w:t>
      </w:r>
      <w:r>
        <w:rPr>
          <w:rFonts w:hint="eastAsia"/>
          <w:bCs/>
          <w:sz w:val="24"/>
          <w:szCs w:val="24"/>
          <w:rtl/>
        </w:rPr>
        <w:t>العامـة</w:t>
      </w:r>
      <w:r>
        <w:rPr>
          <w:bCs/>
          <w:sz w:val="24"/>
          <w:szCs w:val="24"/>
          <w:rtl/>
          <w:lang w:bidi="ar-DZ"/>
        </w:rPr>
        <w:t xml:space="preserve"> </w:t>
      </w:r>
      <w:r>
        <w:rPr>
          <w:rFonts w:hint="eastAsia"/>
          <w:bCs/>
          <w:sz w:val="24"/>
          <w:szCs w:val="24"/>
          <w:rtl/>
        </w:rPr>
        <w:t>للبحـث</w:t>
      </w:r>
      <w:r>
        <w:rPr>
          <w:bCs/>
          <w:sz w:val="24"/>
          <w:szCs w:val="24"/>
          <w:rtl/>
          <w:lang w:bidi="ar-DZ"/>
        </w:rPr>
        <w:t xml:space="preserve"> </w:t>
      </w:r>
      <w:r>
        <w:rPr>
          <w:rFonts w:hint="eastAsia"/>
          <w:bCs/>
          <w:sz w:val="24"/>
          <w:szCs w:val="24"/>
          <w:rtl/>
        </w:rPr>
        <w:t>العلمـي</w:t>
      </w:r>
      <w:r>
        <w:rPr>
          <w:bCs/>
          <w:sz w:val="24"/>
          <w:szCs w:val="24"/>
          <w:rtl/>
          <w:lang w:bidi="ar-DZ"/>
        </w:rPr>
        <w:t xml:space="preserve"> </w:t>
      </w:r>
      <w:r>
        <w:rPr>
          <w:rFonts w:hint="eastAsia"/>
          <w:bCs/>
          <w:sz w:val="24"/>
          <w:szCs w:val="24"/>
          <w:rtl/>
        </w:rPr>
        <w:t>و</w:t>
      </w:r>
      <w:r>
        <w:rPr>
          <w:bCs/>
          <w:sz w:val="24"/>
          <w:szCs w:val="24"/>
          <w:rtl/>
          <w:lang w:bidi="ar-DZ"/>
        </w:rPr>
        <w:t xml:space="preserve"> </w:t>
      </w:r>
      <w:r>
        <w:rPr>
          <w:rFonts w:hint="eastAsia"/>
          <w:bCs/>
          <w:sz w:val="24"/>
          <w:szCs w:val="24"/>
          <w:rtl/>
        </w:rPr>
        <w:t>التطويــر</w:t>
      </w:r>
      <w:r>
        <w:rPr>
          <w:bCs/>
          <w:sz w:val="24"/>
          <w:szCs w:val="24"/>
          <w:rtl/>
          <w:lang w:bidi="ar-DZ"/>
        </w:rPr>
        <w:t xml:space="preserve"> </w:t>
      </w:r>
      <w:r>
        <w:rPr>
          <w:rFonts w:hint="eastAsia"/>
          <w:bCs/>
          <w:sz w:val="24"/>
          <w:szCs w:val="24"/>
          <w:rtl/>
        </w:rPr>
        <w:t>التكنولوجــي</w:t>
      </w:r>
      <w:r>
        <w:rPr>
          <w:b/>
          <w:bCs/>
          <w:sz w:val="24"/>
          <w:szCs w:val="24"/>
          <w:rtl/>
          <w:lang w:bidi="ar-DZ"/>
        </w:rPr>
        <w:t xml:space="preserve"> </w:t>
      </w:r>
    </w:p>
    <w:p>
      <w:pPr>
        <w:pStyle w:val="28"/>
        <w:tabs>
          <w:tab w:val="left" w:pos="0"/>
        </w:tabs>
        <w:jc w:val="center"/>
        <w:rPr>
          <w:b/>
          <w:bCs/>
          <w:sz w:val="18"/>
          <w:szCs w:val="18"/>
          <w:lang w:bidi="ar-DZ"/>
        </w:rPr>
      </w:pPr>
      <w:r>
        <w:rPr>
          <w:b/>
          <w:bCs/>
          <w:sz w:val="18"/>
          <w:szCs w:val="18"/>
          <w:lang w:bidi="ar-DZ"/>
        </w:rPr>
        <w:t xml:space="preserve"> Direction Générale de la Recherche Scientifique et du Développement Technologique </w:t>
      </w:r>
    </w:p>
    <w:p>
      <w:pPr>
        <w:pStyle w:val="28"/>
        <w:jc w:val="center"/>
        <w:rPr>
          <w:b/>
          <w:bCs/>
          <w:sz w:val="18"/>
          <w:szCs w:val="18"/>
        </w:rPr>
      </w:pPr>
    </w:p>
    <w:p>
      <w:pPr>
        <w:spacing w:before="120" w:after="120" w:line="360" w:lineRule="auto"/>
        <w:jc w:val="center"/>
        <w:outlineLvl w:val="0"/>
        <w:rPr>
          <w:b/>
          <w:bCs/>
          <w:color w:val="FFFFFF"/>
          <w:sz w:val="28"/>
          <w:szCs w:val="28"/>
        </w:rPr>
      </w:pPr>
      <w:r>
        <w:rPr>
          <w:b/>
          <w:bCs/>
          <w:color w:val="FFFFFF"/>
          <w:sz w:val="28"/>
          <w:szCs w:val="28"/>
          <w:highlight w:val="black"/>
        </w:rPr>
        <w:t xml:space="preserve"> </w:t>
      </w:r>
      <w:bookmarkStart w:id="55" w:name="_Toc70870425"/>
      <w:bookmarkStart w:id="56" w:name="_Toc70942480"/>
      <w:r>
        <w:rPr>
          <w:b/>
          <w:bCs/>
          <w:color w:val="FFFFFF"/>
          <w:sz w:val="24"/>
          <w:szCs w:val="24"/>
          <w:highlight w:val="black"/>
        </w:rPr>
        <w:t>ATTESTATION DE DOMICILIATION DU PROJET</w:t>
      </w:r>
      <w:bookmarkEnd w:id="55"/>
      <w:bookmarkEnd w:id="56"/>
      <w:r>
        <w:rPr>
          <w:b/>
          <w:bCs/>
          <w:color w:val="FFFFFF"/>
          <w:sz w:val="24"/>
          <w:szCs w:val="24"/>
          <w:highlight w:val="black"/>
        </w:rPr>
        <w:t xml:space="preserve"> AU SEIN D’UN ETABLISSEMENT D’ENSEIGNEMENT SUPERIEUR OU D’UNE INFRASTRCUTURE DE RECHERCHE DE TYPE EPST  </w:t>
      </w:r>
      <w:r>
        <w:rPr>
          <w:b/>
          <w:bCs/>
          <w:color w:val="FFFFFF"/>
          <w:sz w:val="24"/>
          <w:szCs w:val="24"/>
        </w:rPr>
        <w:t xml:space="preserve">    </w:t>
      </w:r>
    </w:p>
    <w:p>
      <w:pPr>
        <w:spacing w:after="0"/>
        <w:jc w:val="both"/>
        <w:rPr>
          <w:sz w:val="18"/>
          <w:szCs w:val="18"/>
        </w:rPr>
      </w:pPr>
    </w:p>
    <w:p>
      <w:pPr>
        <w:spacing w:after="0"/>
        <w:jc w:val="both"/>
        <w:rPr>
          <w:sz w:val="18"/>
          <w:szCs w:val="18"/>
        </w:rPr>
      </w:pPr>
      <w:r>
        <w:rPr>
          <w:lang w:eastAsia="fr-FR"/>
        </w:rPr>
        <mc:AlternateContent>
          <mc:Choice Requires="wps">
            <w:drawing>
              <wp:anchor distT="0" distB="0" distL="114300" distR="114300" simplePos="0" relativeHeight="251660288" behindDoc="0" locked="0" layoutInCell="1" allowOverlap="1">
                <wp:simplePos x="0" y="0"/>
                <wp:positionH relativeFrom="column">
                  <wp:posOffset>899795</wp:posOffset>
                </wp:positionH>
                <wp:positionV relativeFrom="paragraph">
                  <wp:posOffset>142875</wp:posOffset>
                </wp:positionV>
                <wp:extent cx="5631180" cy="235585"/>
                <wp:effectExtent l="0" t="0" r="26670" b="12065"/>
                <wp:wrapNone/>
                <wp:docPr id="8" name="Rectangle à coins arrondis 8"/>
                <wp:cNvGraphicFramePr/>
                <a:graphic xmlns:a="http://schemas.openxmlformats.org/drawingml/2006/main">
                  <a:graphicData uri="http://schemas.microsoft.com/office/word/2010/wordprocessingShape">
                    <wps:wsp>
                      <wps:cNvSpPr>
                        <a:spLocks noChangeArrowheads="1"/>
                      </wps:cNvSpPr>
                      <wps:spPr bwMode="auto">
                        <a:xfrm>
                          <a:off x="0" y="0"/>
                          <a:ext cx="5631180"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8" o:spid="_x0000_s1026" o:spt="2" style="position:absolute;left:0pt;margin-left:70.85pt;margin-top:11.25pt;height:18.55pt;width:443.4pt;z-index:251660288;v-text-anchor:middle;mso-width-relative:page;mso-height-relative:page;" fillcolor="#FFFFFF" filled="t" stroked="t" coordsize="21600,21600" arcsize="0.166666666666667" o:gfxdata="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LSLTDZAAAACgEAAA8A&#10;AAAAAAAAAQAgAAAAIgAAAGRycy9kb3ducmV2LnhtbFBLAQIUABQAAAAIAIdO4kAyC3XeTwIAALcE&#10;AAAOAAAAAAAAAAEAIAAAACgBAABkcnMvZTJvRG9jLnhtbFBLBQYAAAAABgAGAFkBAADpBQAAAAA=&#10;">
                <v:fill on="t" focussize="0,0"/>
                <v:stroke weight="0.737007874015748pt" color="#000000" miterlimit="8" joinstyle="miter"/>
                <v:imagedata o:title=""/>
                <o:lock v:ext="edit" aspectratio="f"/>
              </v:roundrect>
            </w:pict>
          </mc:Fallback>
        </mc:AlternateContent>
      </w:r>
    </w:p>
    <w:p>
      <w:pPr>
        <w:spacing w:after="0"/>
        <w:jc w:val="both"/>
        <w:rPr>
          <w:b/>
          <w:bCs/>
          <w:sz w:val="24"/>
          <w:szCs w:val="24"/>
        </w:rPr>
      </w:pPr>
      <w:r>
        <w:rPr>
          <w:b/>
          <w:bCs/>
          <w:sz w:val="24"/>
          <w:szCs w:val="24"/>
        </w:rPr>
        <w:t>Je soussigné :</w:t>
      </w:r>
    </w:p>
    <w:p>
      <w:pPr>
        <w:spacing w:after="0" w:line="360" w:lineRule="auto"/>
        <w:ind w:right="-142"/>
        <w:jc w:val="both"/>
        <w:rPr>
          <w:sz w:val="18"/>
          <w:szCs w:val="18"/>
        </w:rPr>
      </w:pPr>
    </w:p>
    <w:p>
      <w:pPr>
        <w:spacing w:after="0" w:line="360" w:lineRule="auto"/>
        <w:jc w:val="both"/>
        <w:rPr>
          <w:sz w:val="18"/>
          <w:szCs w:val="18"/>
        </w:rPr>
      </w:pPr>
    </w:p>
    <w:p>
      <w:pPr>
        <w:spacing w:after="0" w:line="360" w:lineRule="auto"/>
        <w:jc w:val="both"/>
        <w:rPr>
          <w:b/>
          <w:bCs/>
        </w:rPr>
      </w:pPr>
      <w:r>
        <w:rPr>
          <w:b/>
          <w:bCs/>
        </w:rPr>
        <w:t xml:space="preserve">Chef d’établissement </w:t>
      </w:r>
    </w:p>
    <w:p>
      <w:pPr>
        <w:spacing w:after="0" w:line="360" w:lineRule="auto"/>
        <w:jc w:val="both"/>
        <w:rPr>
          <w:sz w:val="18"/>
          <w:szCs w:val="18"/>
        </w:rPr>
      </w:pPr>
      <w:r>
        <w:rPr>
          <w:sz w:val="18"/>
          <w:szCs w:val="18"/>
          <w:lang w:eastAsia="fr-FR"/>
        </w:rPr>
        <mc:AlternateContent>
          <mc:Choice Requires="wps">
            <w:drawing>
              <wp:anchor distT="0" distB="0" distL="114300" distR="114300" simplePos="0" relativeHeight="251662336" behindDoc="0" locked="0" layoutInCell="1" allowOverlap="1">
                <wp:simplePos x="0" y="0"/>
                <wp:positionH relativeFrom="column">
                  <wp:posOffset>-54610</wp:posOffset>
                </wp:positionH>
                <wp:positionV relativeFrom="paragraph">
                  <wp:posOffset>85090</wp:posOffset>
                </wp:positionV>
                <wp:extent cx="6002655" cy="235585"/>
                <wp:effectExtent l="6985" t="5080" r="10160" b="6985"/>
                <wp:wrapNone/>
                <wp:docPr id="7" name="Rectangle à coins arrondis 7"/>
                <wp:cNvGraphicFramePr/>
                <a:graphic xmlns:a="http://schemas.openxmlformats.org/drawingml/2006/main">
                  <a:graphicData uri="http://schemas.microsoft.com/office/word/2010/wordprocessingShape">
                    <wps:wsp>
                      <wps:cNvSpPr>
                        <a:spLocks noChangeArrowheads="1"/>
                      </wps:cNvSpPr>
                      <wps:spPr bwMode="auto">
                        <a:xfrm>
                          <a:off x="0" y="0"/>
                          <a:ext cx="600265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7" o:spid="_x0000_s1026" o:spt="2" style="position:absolute;left:0pt;margin-left:-4.3pt;margin-top:6.7pt;height:18.55pt;width:472.65pt;z-index:251662336;v-text-anchor:middle;mso-width-relative:page;mso-height-relative:page;" fillcolor="#FFFFFF" filled="t" stroked="t" coordsize="21600,21600" arcsize="0.166666666666667" o:gfxdata="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lSBtt2QAAAAgBAAAP&#10;AAAAAAAAAAEAIAAAACIAAABkcnMvZG93bnJldi54bWxQSwECFAAUAAAACACHTuJAb+vp8lACAAC3&#10;BAAADgAAAAAAAAABACAAAAAoAQAAZHJzL2Uyb0RvYy54bWxQSwUGAAAAAAYABgBZAQAA6gUAAAAA&#10;">
                <v:fill on="t" focussize="0,0"/>
                <v:stroke weight="0.737007874015748pt" color="#000000" miterlimit="8" joinstyle="miter"/>
                <v:imagedata o:title=""/>
                <o:lock v:ext="edit" aspectratio="f"/>
              </v:roundrect>
            </w:pict>
          </mc:Fallback>
        </mc:AlternateContent>
      </w:r>
    </w:p>
    <w:p>
      <w:pPr>
        <w:spacing w:after="0" w:line="360" w:lineRule="auto"/>
        <w:jc w:val="both"/>
        <w:rPr>
          <w:sz w:val="18"/>
          <w:szCs w:val="18"/>
        </w:rPr>
      </w:pPr>
    </w:p>
    <w:p>
      <w:pPr>
        <w:spacing w:after="0" w:line="360" w:lineRule="auto"/>
        <w:jc w:val="both"/>
        <w:rPr>
          <w:sz w:val="18"/>
          <w:szCs w:val="18"/>
        </w:rPr>
      </w:pPr>
    </w:p>
    <w:p>
      <w:pPr>
        <w:spacing w:after="0" w:line="360" w:lineRule="auto"/>
        <w:jc w:val="both"/>
        <w:rPr>
          <w:b/>
          <w:bCs/>
        </w:rPr>
      </w:pPr>
      <w:r>
        <w:rPr>
          <w:b/>
          <w:bCs/>
        </w:rPr>
        <w:t xml:space="preserve">Attestons que le projet le projet de recherche intitulé : </w:t>
      </w:r>
    </w:p>
    <w:p>
      <w:pPr>
        <w:spacing w:after="0" w:line="360" w:lineRule="auto"/>
        <w:jc w:val="both"/>
        <w:rPr>
          <w:sz w:val="18"/>
          <w:szCs w:val="18"/>
        </w:rPr>
      </w:pPr>
      <w:r>
        <w:rPr>
          <w:sz w:val="18"/>
          <w:szCs w:val="18"/>
          <w:lang w:eastAsia="fr-FR"/>
        </w:rPr>
        <mc:AlternateContent>
          <mc:Choice Requires="wps">
            <w:drawing>
              <wp:anchor distT="0" distB="0" distL="114300" distR="114300" simplePos="0" relativeHeight="251663360" behindDoc="0" locked="0" layoutInCell="1" allowOverlap="1">
                <wp:simplePos x="0" y="0"/>
                <wp:positionH relativeFrom="column">
                  <wp:posOffset>-54610</wp:posOffset>
                </wp:positionH>
                <wp:positionV relativeFrom="paragraph">
                  <wp:posOffset>54610</wp:posOffset>
                </wp:positionV>
                <wp:extent cx="6002655" cy="235585"/>
                <wp:effectExtent l="6985" t="10795" r="10160" b="10795"/>
                <wp:wrapNone/>
                <wp:docPr id="6" name="Rectangle à coins arrondis 6"/>
                <wp:cNvGraphicFramePr/>
                <a:graphic xmlns:a="http://schemas.openxmlformats.org/drawingml/2006/main">
                  <a:graphicData uri="http://schemas.microsoft.com/office/word/2010/wordprocessingShape">
                    <wps:wsp>
                      <wps:cNvSpPr>
                        <a:spLocks noChangeArrowheads="1"/>
                      </wps:cNvSpPr>
                      <wps:spPr bwMode="auto">
                        <a:xfrm>
                          <a:off x="0" y="0"/>
                          <a:ext cx="600265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6" o:spid="_x0000_s1026" o:spt="2" style="position:absolute;left:0pt;margin-left:-4.3pt;margin-top:4.3pt;height:18.55pt;width:472.65pt;z-index:251663360;v-text-anchor:middle;mso-width-relative:page;mso-height-relative:page;" fillcolor="#FFFFFF" filled="t" stroked="t" coordsize="21600,21600" arcsize="0.166666666666667" o:gfxdata="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dTyD+1wAAAAcBAAAPAAAA&#10;AAAAAAEAIAAAACIAAABkcnMvZG93bnJldi54bWxQSwECFAAUAAAACACHTuJAVU/gpE8CAAC3BAAA&#10;DgAAAAAAAAABACAAAAAmAQAAZHJzL2Uyb0RvYy54bWxQSwUGAAAAAAYABgBZAQAA5wUAAAAA&#10;">
                <v:fill on="t" focussize="0,0"/>
                <v:stroke weight="0.737007874015748pt" color="#000000" miterlimit="8" joinstyle="miter"/>
                <v:imagedata o:title=""/>
                <o:lock v:ext="edit" aspectratio="f"/>
              </v:roundrect>
            </w:pict>
          </mc:Fallback>
        </mc:AlternateContent>
      </w:r>
    </w:p>
    <w:p>
      <w:pPr>
        <w:spacing w:after="0"/>
        <w:jc w:val="both"/>
        <w:rPr>
          <w:sz w:val="18"/>
          <w:szCs w:val="18"/>
        </w:rPr>
      </w:pPr>
    </w:p>
    <w:p>
      <w:pPr>
        <w:spacing w:after="0"/>
        <w:jc w:val="both"/>
        <w:rPr>
          <w:b/>
          <w:bCs/>
        </w:rPr>
      </w:pPr>
      <w:r>
        <w:rPr>
          <w:b/>
          <w:bCs/>
        </w:rPr>
        <w:t xml:space="preserve">A été présenté sous l’égide de </w:t>
      </w:r>
      <w:r>
        <w:rPr>
          <w:b/>
          <w:bCs/>
          <w:vertAlign w:val="superscript"/>
        </w:rPr>
        <w:t>(1)</w:t>
      </w:r>
      <w:r>
        <w:rPr>
          <w:b/>
          <w:bCs/>
        </w:rPr>
        <w:t> :</w:t>
      </w:r>
    </w:p>
    <w:p>
      <w:pPr>
        <w:spacing w:after="0"/>
        <w:jc w:val="both"/>
        <w:rPr>
          <w:sz w:val="18"/>
          <w:szCs w:val="18"/>
        </w:rPr>
      </w:pPr>
      <w:r>
        <w:rPr>
          <w:lang w:eastAsia="fr-FR"/>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118745</wp:posOffset>
                </wp:positionV>
                <wp:extent cx="6002655" cy="226695"/>
                <wp:effectExtent l="6985" t="12065" r="10160" b="8890"/>
                <wp:wrapNone/>
                <wp:docPr id="5" name="Rectangle à coins arrondis 5"/>
                <wp:cNvGraphicFramePr/>
                <a:graphic xmlns:a="http://schemas.openxmlformats.org/drawingml/2006/main">
                  <a:graphicData uri="http://schemas.microsoft.com/office/word/2010/wordprocessingShape">
                    <wps:wsp>
                      <wps:cNvSpPr>
                        <a:spLocks noChangeArrowheads="1"/>
                      </wps:cNvSpPr>
                      <wps:spPr bwMode="auto">
                        <a:xfrm>
                          <a:off x="0" y="0"/>
                          <a:ext cx="6002655" cy="22669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5" o:spid="_x0000_s1026" o:spt="2" style="position:absolute;left:0pt;margin-left:-4.3pt;margin-top:9.35pt;height:17.85pt;width:472.65pt;z-index:251661312;v-text-anchor:middle;mso-width-relative:page;mso-height-relative:page;" fillcolor="#FFFFFF" filled="t" stroked="t" coordsize="21600,21600" arcsize="0.166666666666667" o:gfxdata="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TKMxbZAAAACAEAAA8A&#10;AAAAAAAAAQAgAAAAIgAAAGRycy9kb3ducmV2LnhtbFBLAQIUABQAAAAIAIdO4kD3lIoqTwIAALcE&#10;AAAOAAAAAAAAAAEAIAAAACgBAABkcnMvZTJvRG9jLnhtbFBLBQYAAAAABgAGAFkBAADpBQAAAAA=&#10;">
                <v:fill on="t" focussize="0,0"/>
                <v:stroke weight="0.737007874015748pt" color="#000000" miterlimit="8" joinstyle="miter"/>
                <v:imagedata o:title=""/>
                <o:lock v:ext="edit" aspectratio="f"/>
              </v:roundrect>
            </w:pict>
          </mc:Fallback>
        </mc:AlternateContent>
      </w:r>
    </w:p>
    <w:p>
      <w:pPr>
        <w:spacing w:before="120" w:after="0"/>
        <w:jc w:val="both"/>
        <w:rPr>
          <w:sz w:val="18"/>
          <w:szCs w:val="18"/>
        </w:rPr>
      </w:pPr>
    </w:p>
    <w:p>
      <w:pPr>
        <w:spacing w:before="120" w:after="0"/>
        <w:jc w:val="both"/>
        <w:rPr>
          <w:b/>
          <w:bCs/>
        </w:rPr>
      </w:pPr>
      <w:r>
        <w:rPr>
          <w:b/>
          <w:bCs/>
        </w:rPr>
        <w:t>Avec notre consentement en qualité de chef d’établissement de domiciliation, nous attestons de notre accord et nous assurerons de la bonne exécution du projet conformément aux dispositions réglementaires.</w:t>
      </w:r>
    </w:p>
    <w:p>
      <w:pPr>
        <w:spacing w:before="120" w:after="120"/>
        <w:jc w:val="both"/>
        <w:rPr>
          <w:sz w:val="18"/>
          <w:szCs w:val="18"/>
        </w:rPr>
      </w:pPr>
      <w:r>
        <w:rPr>
          <w:sz w:val="18"/>
          <w:szCs w:val="18"/>
        </w:rPr>
        <w:t xml:space="preserve">                                                                              A…………………………  le  ……………………..   </w:t>
      </w:r>
    </w:p>
    <w:p>
      <w:pPr>
        <w:tabs>
          <w:tab w:val="left" w:pos="5570"/>
        </w:tabs>
        <w:jc w:val="right"/>
        <w:rPr>
          <w:b/>
          <w:bCs/>
          <w:sz w:val="24"/>
          <w:szCs w:val="24"/>
        </w:rPr>
      </w:pPr>
    </w:p>
    <w:p>
      <w:pPr>
        <w:tabs>
          <w:tab w:val="left" w:pos="5570"/>
        </w:tabs>
        <w:jc w:val="right"/>
        <w:rPr>
          <w:b/>
          <w:bCs/>
          <w:sz w:val="24"/>
          <w:szCs w:val="24"/>
        </w:rPr>
      </w:pPr>
      <w:r>
        <w:rPr>
          <w:b/>
          <w:bCs/>
          <w:sz w:val="24"/>
          <w:szCs w:val="24"/>
        </w:rPr>
        <w:t>Chef d’établissement de domiciliation du projet</w:t>
      </w:r>
    </w:p>
    <w:p>
      <w:pPr>
        <w:tabs>
          <w:tab w:val="left" w:pos="5570"/>
        </w:tabs>
        <w:jc w:val="both"/>
        <w:rPr>
          <w:b/>
          <w:bCs/>
          <w:sz w:val="18"/>
          <w:szCs w:val="18"/>
        </w:rPr>
      </w:pPr>
    </w:p>
    <w:p>
      <w:pPr>
        <w:jc w:val="both"/>
        <w:rPr>
          <w:sz w:val="18"/>
          <w:szCs w:val="18"/>
        </w:rPr>
      </w:pPr>
    </w:p>
    <w:p>
      <w:pPr>
        <w:jc w:val="both"/>
        <w:rPr>
          <w:sz w:val="18"/>
          <w:szCs w:val="18"/>
        </w:rPr>
      </w:pPr>
    </w:p>
    <w:p>
      <w:pPr>
        <w:jc w:val="both"/>
        <w:rPr>
          <w:sz w:val="18"/>
          <w:szCs w:val="18"/>
        </w:rPr>
      </w:pPr>
    </w:p>
    <w:p>
      <w:pPr>
        <w:numPr>
          <w:ilvl w:val="0"/>
          <w:numId w:val="12"/>
        </w:numPr>
        <w:spacing w:after="0" w:line="240" w:lineRule="auto"/>
        <w:jc w:val="both"/>
        <w:rPr>
          <w:b/>
          <w:bCs/>
          <w:i/>
          <w:iCs/>
          <w:sz w:val="18"/>
          <w:szCs w:val="18"/>
        </w:rPr>
      </w:pPr>
      <w:r>
        <w:rPr>
          <w:b/>
          <w:bCs/>
          <w:i/>
          <w:iCs/>
          <w:sz w:val="18"/>
          <w:szCs w:val="18"/>
        </w:rPr>
        <w:t>Indiquer l’établissement de domiciliation du projet. En cas ou le projet concerne plusieurs établissements, veuillez indiquer l’établissement dans lequel les crédits seront versés. L’établissement de domiciliation doit être un établissement du secteur de l’enseignement supérieur et de la recherche scientifique</w:t>
      </w:r>
    </w:p>
    <w:p>
      <w:pPr>
        <w:spacing w:after="0" w:line="240" w:lineRule="auto"/>
        <w:jc w:val="both"/>
        <w:rPr>
          <w:i/>
          <w:iCs/>
          <w:sz w:val="18"/>
          <w:szCs w:val="18"/>
        </w:rPr>
      </w:pPr>
    </w:p>
    <w:p/>
    <w:p>
      <w:pPr>
        <w:spacing w:after="0" w:line="240" w:lineRule="auto"/>
        <w:jc w:val="both"/>
        <w:rPr>
          <w:i/>
          <w:iCs/>
          <w:sz w:val="18"/>
          <w:szCs w:val="18"/>
        </w:rPr>
      </w:pPr>
    </w:p>
    <w:p>
      <w:pPr>
        <w:pStyle w:val="2"/>
        <w:spacing w:before="0"/>
        <w:jc w:val="center"/>
        <w:rPr>
          <w:rFonts w:ascii="Calibri" w:hAnsi="Calibri"/>
          <w:color w:val="auto"/>
        </w:rPr>
      </w:pPr>
      <w:bookmarkStart w:id="57" w:name="_Toc70870426"/>
      <w:bookmarkStart w:id="58" w:name="_Toc70942481"/>
      <w:r>
        <w:rPr>
          <w:rFonts w:hint="eastAsia" w:ascii="Calibri" w:hAnsi="Calibri"/>
          <w:color w:val="auto"/>
          <w:rtl/>
        </w:rPr>
        <w:t>الجمهوريــة</w:t>
      </w:r>
      <w:r>
        <w:rPr>
          <w:rFonts w:ascii="Calibri" w:hAnsi="Calibri"/>
          <w:color w:val="auto"/>
          <w:rtl/>
        </w:rPr>
        <w:t xml:space="preserve"> </w:t>
      </w:r>
      <w:r>
        <w:rPr>
          <w:rFonts w:hint="eastAsia" w:ascii="Calibri" w:hAnsi="Calibri"/>
          <w:color w:val="auto"/>
          <w:rtl/>
        </w:rPr>
        <w:t>الجزائريــة</w:t>
      </w:r>
      <w:r>
        <w:rPr>
          <w:rFonts w:ascii="Calibri" w:hAnsi="Calibri"/>
          <w:color w:val="auto"/>
          <w:rtl/>
        </w:rPr>
        <w:t xml:space="preserve"> </w:t>
      </w:r>
      <w:r>
        <w:rPr>
          <w:rFonts w:hint="eastAsia" w:ascii="Calibri" w:hAnsi="Calibri"/>
          <w:color w:val="auto"/>
          <w:rtl/>
        </w:rPr>
        <w:t>الديمقراطيــة</w:t>
      </w:r>
      <w:r>
        <w:rPr>
          <w:rFonts w:ascii="Calibri" w:hAnsi="Calibri"/>
          <w:color w:val="auto"/>
          <w:rtl/>
        </w:rPr>
        <w:t xml:space="preserve"> </w:t>
      </w:r>
      <w:r>
        <w:rPr>
          <w:rFonts w:hint="eastAsia" w:ascii="Calibri" w:hAnsi="Calibri"/>
          <w:color w:val="auto"/>
          <w:rtl/>
        </w:rPr>
        <w:t>الشعبيـــة</w:t>
      </w:r>
      <w:bookmarkEnd w:id="57"/>
      <w:bookmarkEnd w:id="58"/>
    </w:p>
    <w:p>
      <w:pPr>
        <w:pStyle w:val="2"/>
        <w:spacing w:before="0"/>
        <w:jc w:val="center"/>
        <w:rPr>
          <w:rFonts w:ascii="Calibri" w:hAnsi="Calibri"/>
          <w:b/>
          <w:bCs/>
          <w:color w:val="auto"/>
          <w:sz w:val="18"/>
          <w:szCs w:val="18"/>
          <w:rtl/>
          <w:lang w:bidi="ar-DZ"/>
        </w:rPr>
      </w:pPr>
      <w:bookmarkStart w:id="59" w:name="_Toc70870427"/>
      <w:bookmarkStart w:id="60" w:name="_Toc70942482"/>
      <w:r>
        <w:rPr>
          <w:rFonts w:ascii="Calibri" w:hAnsi="Calibri"/>
          <w:color w:val="auto"/>
          <w:sz w:val="18"/>
          <w:szCs w:val="18"/>
          <w:lang w:bidi="ar-DZ"/>
        </w:rPr>
        <w:t>République Algérienne Démocratique et Populaire</w:t>
      </w:r>
      <w:r>
        <w:rPr>
          <w:rFonts w:ascii="Calibri" w:hAnsi="Calibri"/>
          <w:color w:val="auto"/>
          <w:sz w:val="18"/>
          <w:szCs w:val="18"/>
          <w:lang w:bidi="ar-DZ"/>
        </w:rPr>
        <w:br w:type="textWrapping"/>
      </w:r>
      <w:r>
        <w:rPr>
          <w:rFonts w:hint="eastAsia" w:ascii="Calibri" w:hAnsi="Calibri"/>
          <w:color w:val="auto"/>
          <w:sz w:val="26"/>
          <w:szCs w:val="26"/>
          <w:rtl/>
        </w:rPr>
        <w:t>وزارة</w:t>
      </w:r>
      <w:r>
        <w:rPr>
          <w:rFonts w:ascii="Calibri" w:hAnsi="Calibri"/>
          <w:color w:val="auto"/>
          <w:sz w:val="26"/>
          <w:szCs w:val="26"/>
          <w:rtl/>
          <w:lang w:bidi="ar-DZ"/>
        </w:rPr>
        <w:t xml:space="preserve"> </w:t>
      </w:r>
      <w:r>
        <w:rPr>
          <w:rFonts w:hint="eastAsia" w:ascii="Calibri" w:hAnsi="Calibri"/>
          <w:color w:val="auto"/>
          <w:sz w:val="26"/>
          <w:szCs w:val="26"/>
          <w:rtl/>
        </w:rPr>
        <w:t>التعليــم</w:t>
      </w:r>
      <w:r>
        <w:rPr>
          <w:rFonts w:ascii="Calibri" w:hAnsi="Calibri"/>
          <w:color w:val="auto"/>
          <w:sz w:val="26"/>
          <w:szCs w:val="26"/>
          <w:rtl/>
          <w:lang w:bidi="ar-DZ"/>
        </w:rPr>
        <w:t xml:space="preserve"> </w:t>
      </w:r>
      <w:r>
        <w:rPr>
          <w:rFonts w:hint="eastAsia" w:ascii="Calibri" w:hAnsi="Calibri"/>
          <w:color w:val="auto"/>
          <w:sz w:val="26"/>
          <w:szCs w:val="26"/>
          <w:rtl/>
        </w:rPr>
        <w:t>العالــي</w:t>
      </w:r>
      <w:r>
        <w:rPr>
          <w:rFonts w:ascii="Calibri" w:hAnsi="Calibri"/>
          <w:color w:val="auto"/>
          <w:sz w:val="26"/>
          <w:szCs w:val="26"/>
          <w:rtl/>
          <w:lang w:bidi="ar-DZ"/>
        </w:rPr>
        <w:t xml:space="preserve"> </w:t>
      </w:r>
      <w:r>
        <w:rPr>
          <w:rFonts w:hint="eastAsia" w:ascii="Calibri" w:hAnsi="Calibri"/>
          <w:color w:val="auto"/>
          <w:sz w:val="26"/>
          <w:szCs w:val="26"/>
          <w:rtl/>
        </w:rPr>
        <w:t>و</w:t>
      </w:r>
      <w:r>
        <w:rPr>
          <w:rFonts w:ascii="Calibri" w:hAnsi="Calibri"/>
          <w:color w:val="auto"/>
          <w:sz w:val="26"/>
          <w:szCs w:val="26"/>
          <w:rtl/>
          <w:lang w:bidi="ar-DZ"/>
        </w:rPr>
        <w:t xml:space="preserve"> </w:t>
      </w:r>
      <w:r>
        <w:rPr>
          <w:rFonts w:hint="eastAsia" w:ascii="Calibri" w:hAnsi="Calibri"/>
          <w:color w:val="auto"/>
          <w:sz w:val="26"/>
          <w:szCs w:val="26"/>
          <w:rtl/>
        </w:rPr>
        <w:t>البحــث</w:t>
      </w:r>
      <w:r>
        <w:rPr>
          <w:rFonts w:ascii="Calibri" w:hAnsi="Calibri"/>
          <w:color w:val="auto"/>
          <w:sz w:val="26"/>
          <w:szCs w:val="26"/>
          <w:rtl/>
          <w:lang w:bidi="ar-DZ"/>
        </w:rPr>
        <w:t xml:space="preserve"> </w:t>
      </w:r>
      <w:r>
        <w:rPr>
          <w:rFonts w:hint="eastAsia" w:ascii="Calibri" w:hAnsi="Calibri"/>
          <w:color w:val="auto"/>
          <w:sz w:val="26"/>
          <w:szCs w:val="26"/>
          <w:rtl/>
        </w:rPr>
        <w:t>العلمــي</w:t>
      </w:r>
      <w:bookmarkEnd w:id="59"/>
      <w:bookmarkEnd w:id="60"/>
    </w:p>
    <w:p>
      <w:pPr>
        <w:pStyle w:val="28"/>
        <w:tabs>
          <w:tab w:val="left" w:pos="0"/>
        </w:tabs>
        <w:jc w:val="center"/>
        <w:rPr>
          <w:b/>
          <w:bCs/>
          <w:sz w:val="24"/>
          <w:szCs w:val="24"/>
          <w:lang w:bidi="ar-DZ"/>
        </w:rPr>
      </w:pPr>
      <w:r>
        <w:rPr>
          <w:sz w:val="18"/>
          <w:szCs w:val="18"/>
          <w:lang w:bidi="ar-DZ"/>
        </w:rPr>
        <w:t>Ministère de l’Enseignement Supérieur et de la Recherche Scientifique</w:t>
      </w:r>
      <w:r>
        <w:rPr>
          <w:b/>
          <w:bCs/>
          <w:sz w:val="18"/>
          <w:szCs w:val="18"/>
          <w:lang w:bidi="ar-DZ"/>
        </w:rPr>
        <w:br w:type="textWrapping"/>
      </w:r>
      <w:r>
        <w:rPr>
          <w:rFonts w:hint="eastAsia"/>
          <w:bCs/>
          <w:sz w:val="24"/>
          <w:szCs w:val="24"/>
          <w:rtl/>
        </w:rPr>
        <w:t>المديريـة</w:t>
      </w:r>
      <w:r>
        <w:rPr>
          <w:bCs/>
          <w:sz w:val="24"/>
          <w:szCs w:val="24"/>
          <w:rtl/>
          <w:lang w:bidi="ar-DZ"/>
        </w:rPr>
        <w:t xml:space="preserve"> </w:t>
      </w:r>
      <w:r>
        <w:rPr>
          <w:rFonts w:hint="eastAsia"/>
          <w:bCs/>
          <w:sz w:val="24"/>
          <w:szCs w:val="24"/>
          <w:rtl/>
        </w:rPr>
        <w:t>العامـة</w:t>
      </w:r>
      <w:r>
        <w:rPr>
          <w:bCs/>
          <w:sz w:val="24"/>
          <w:szCs w:val="24"/>
          <w:rtl/>
          <w:lang w:bidi="ar-DZ"/>
        </w:rPr>
        <w:t xml:space="preserve"> </w:t>
      </w:r>
      <w:r>
        <w:rPr>
          <w:rFonts w:hint="eastAsia"/>
          <w:bCs/>
          <w:sz w:val="24"/>
          <w:szCs w:val="24"/>
          <w:rtl/>
        </w:rPr>
        <w:t>للبحـث</w:t>
      </w:r>
      <w:r>
        <w:rPr>
          <w:bCs/>
          <w:sz w:val="24"/>
          <w:szCs w:val="24"/>
          <w:rtl/>
          <w:lang w:bidi="ar-DZ"/>
        </w:rPr>
        <w:t xml:space="preserve"> </w:t>
      </w:r>
      <w:r>
        <w:rPr>
          <w:rFonts w:hint="eastAsia"/>
          <w:bCs/>
          <w:sz w:val="24"/>
          <w:szCs w:val="24"/>
          <w:rtl/>
        </w:rPr>
        <w:t>العلمـي</w:t>
      </w:r>
      <w:r>
        <w:rPr>
          <w:bCs/>
          <w:sz w:val="24"/>
          <w:szCs w:val="24"/>
          <w:rtl/>
          <w:lang w:bidi="ar-DZ"/>
        </w:rPr>
        <w:t xml:space="preserve"> </w:t>
      </w:r>
      <w:r>
        <w:rPr>
          <w:rFonts w:hint="eastAsia"/>
          <w:bCs/>
          <w:sz w:val="24"/>
          <w:szCs w:val="24"/>
          <w:rtl/>
        </w:rPr>
        <w:t>و</w:t>
      </w:r>
      <w:r>
        <w:rPr>
          <w:bCs/>
          <w:sz w:val="24"/>
          <w:szCs w:val="24"/>
          <w:rtl/>
          <w:lang w:bidi="ar-DZ"/>
        </w:rPr>
        <w:t xml:space="preserve"> </w:t>
      </w:r>
      <w:r>
        <w:rPr>
          <w:rFonts w:hint="eastAsia"/>
          <w:bCs/>
          <w:sz w:val="24"/>
          <w:szCs w:val="24"/>
          <w:rtl/>
        </w:rPr>
        <w:t>التطويــر</w:t>
      </w:r>
      <w:r>
        <w:rPr>
          <w:bCs/>
          <w:sz w:val="24"/>
          <w:szCs w:val="24"/>
          <w:rtl/>
          <w:lang w:bidi="ar-DZ"/>
        </w:rPr>
        <w:t xml:space="preserve"> </w:t>
      </w:r>
      <w:r>
        <w:rPr>
          <w:rFonts w:hint="eastAsia"/>
          <w:bCs/>
          <w:sz w:val="24"/>
          <w:szCs w:val="24"/>
          <w:rtl/>
        </w:rPr>
        <w:t>التكنولوجــي</w:t>
      </w:r>
      <w:r>
        <w:rPr>
          <w:b/>
          <w:bCs/>
          <w:sz w:val="24"/>
          <w:szCs w:val="24"/>
          <w:rtl/>
          <w:lang w:bidi="ar-DZ"/>
        </w:rPr>
        <w:t xml:space="preserve"> </w:t>
      </w:r>
    </w:p>
    <w:p>
      <w:pPr>
        <w:pStyle w:val="28"/>
        <w:tabs>
          <w:tab w:val="left" w:pos="0"/>
        </w:tabs>
        <w:jc w:val="center"/>
        <w:rPr>
          <w:b/>
          <w:bCs/>
          <w:sz w:val="18"/>
          <w:szCs w:val="18"/>
          <w:lang w:bidi="ar-DZ"/>
        </w:rPr>
      </w:pPr>
      <w:r>
        <w:rPr>
          <w:b/>
          <w:bCs/>
          <w:sz w:val="18"/>
          <w:szCs w:val="18"/>
          <w:lang w:bidi="ar-DZ"/>
        </w:rPr>
        <w:t xml:space="preserve"> Direction Générale de la Recherche Scientifique et du Développement Technologique </w:t>
      </w:r>
    </w:p>
    <w:p>
      <w:pPr>
        <w:pStyle w:val="28"/>
        <w:jc w:val="center"/>
        <w:rPr>
          <w:b/>
          <w:bCs/>
          <w:sz w:val="18"/>
          <w:szCs w:val="18"/>
        </w:rPr>
      </w:pPr>
    </w:p>
    <w:p>
      <w:pPr>
        <w:spacing w:before="120" w:after="120" w:line="360" w:lineRule="auto"/>
        <w:jc w:val="center"/>
        <w:outlineLvl w:val="0"/>
        <w:rPr>
          <w:b/>
          <w:bCs/>
          <w:color w:val="FFFFFF"/>
          <w:sz w:val="28"/>
          <w:szCs w:val="28"/>
        </w:rPr>
      </w:pPr>
      <w:r>
        <w:rPr>
          <w:b/>
          <w:bCs/>
          <w:color w:val="FFFFFF"/>
          <w:sz w:val="28"/>
          <w:szCs w:val="28"/>
          <w:highlight w:val="black"/>
        </w:rPr>
        <w:t xml:space="preserve"> </w:t>
      </w:r>
      <w:bookmarkStart w:id="61" w:name="_Toc70870428"/>
      <w:bookmarkStart w:id="62" w:name="_Toc70942483"/>
      <w:r>
        <w:rPr>
          <w:b/>
          <w:bCs/>
          <w:color w:val="FFFFFF"/>
          <w:sz w:val="24"/>
          <w:szCs w:val="24"/>
          <w:highlight w:val="black"/>
        </w:rPr>
        <w:t>ATTESTATION DE L’ETABLISSEMENT SOCIO-ECONOMIQUE PARTENAIRE</w:t>
      </w:r>
      <w:bookmarkEnd w:id="61"/>
      <w:bookmarkEnd w:id="62"/>
      <w:r>
        <w:rPr>
          <w:b/>
          <w:bCs/>
          <w:color w:val="FFFFFF"/>
          <w:sz w:val="24"/>
          <w:szCs w:val="24"/>
          <w:highlight w:val="black"/>
        </w:rPr>
        <w:t xml:space="preserve"> PORTEUR DU PROJET </w:t>
      </w:r>
    </w:p>
    <w:p>
      <w:pPr>
        <w:spacing w:after="0" w:line="240" w:lineRule="auto"/>
        <w:jc w:val="both"/>
        <w:rPr>
          <w:b/>
          <w:bCs/>
        </w:rPr>
      </w:pPr>
      <w:r>
        <w:rPr>
          <w:b/>
          <w:bCs/>
        </w:rPr>
        <w:t>Établissement </w:t>
      </w:r>
      <w:r>
        <w:rPr>
          <w:rStyle w:val="8"/>
          <w:b/>
          <w:bCs/>
        </w:rPr>
        <w:footnoteReference w:id="0"/>
      </w:r>
      <w:r>
        <w:rPr>
          <w:b/>
          <w:bCs/>
        </w:rPr>
        <w:t>:</w:t>
      </w:r>
    </w:p>
    <w:p>
      <w:pPr>
        <w:spacing w:after="0" w:line="240" w:lineRule="auto"/>
        <w:jc w:val="both"/>
        <w:rPr>
          <w:b/>
          <w:bCs/>
        </w:rPr>
      </w:pPr>
      <w:r>
        <w:rPr>
          <w:b/>
          <w:bCs/>
        </w:rPr>
        <w:t>Statut :</w:t>
      </w:r>
    </w:p>
    <w:p>
      <w:pPr>
        <w:spacing w:after="0" w:line="240" w:lineRule="auto"/>
        <w:jc w:val="both"/>
        <w:rPr>
          <w:b/>
          <w:bCs/>
        </w:rPr>
      </w:pPr>
      <w:r>
        <w:rPr>
          <w:b/>
          <w:bCs/>
        </w:rPr>
        <w:t xml:space="preserve">Adresse : </w:t>
      </w:r>
    </w:p>
    <w:p>
      <w:pPr>
        <w:spacing w:after="0" w:line="240" w:lineRule="auto"/>
        <w:jc w:val="both"/>
        <w:rPr>
          <w:b/>
          <w:bCs/>
        </w:rPr>
      </w:pPr>
      <w:r>
        <w:rPr>
          <w:b/>
          <w:bCs/>
        </w:rPr>
        <w:t>Téléphone :</w:t>
      </w:r>
    </w:p>
    <w:p>
      <w:pPr>
        <w:tabs>
          <w:tab w:val="left" w:pos="672"/>
        </w:tabs>
        <w:spacing w:after="0" w:line="240" w:lineRule="auto"/>
        <w:jc w:val="both"/>
        <w:rPr>
          <w:b/>
          <w:bCs/>
        </w:rPr>
      </w:pPr>
      <w:r>
        <w:rPr>
          <w:b/>
          <w:bCs/>
        </w:rPr>
        <w:t xml:space="preserve">Email :: </w:t>
      </w:r>
    </w:p>
    <w:p>
      <w:pPr>
        <w:spacing w:after="0"/>
        <w:jc w:val="both"/>
        <w:rPr>
          <w:b/>
          <w:bCs/>
          <w:sz w:val="18"/>
          <w:szCs w:val="18"/>
        </w:rPr>
      </w:pPr>
    </w:p>
    <w:p>
      <w:pPr>
        <w:spacing w:after="0"/>
        <w:jc w:val="both"/>
        <w:rPr>
          <w:sz w:val="18"/>
          <w:szCs w:val="18"/>
        </w:rPr>
      </w:pPr>
    </w:p>
    <w:p>
      <w:pPr>
        <w:spacing w:after="0"/>
        <w:jc w:val="both"/>
        <w:rPr>
          <w:b/>
          <w:bCs/>
          <w:sz w:val="24"/>
          <w:szCs w:val="24"/>
        </w:rPr>
      </w:pPr>
      <w:r>
        <w:rPr>
          <w:lang w:eastAsia="fr-FR"/>
        </w:rPr>
        <mc:AlternateContent>
          <mc:Choice Requires="wps">
            <w:drawing>
              <wp:anchor distT="0" distB="0" distL="114300" distR="114300" simplePos="0" relativeHeight="251664384" behindDoc="0" locked="0" layoutInCell="1" allowOverlap="1">
                <wp:simplePos x="0" y="0"/>
                <wp:positionH relativeFrom="column">
                  <wp:posOffset>891540</wp:posOffset>
                </wp:positionH>
                <wp:positionV relativeFrom="paragraph">
                  <wp:posOffset>59690</wp:posOffset>
                </wp:positionV>
                <wp:extent cx="5431790" cy="235585"/>
                <wp:effectExtent l="0" t="0" r="16510" b="12065"/>
                <wp:wrapNone/>
                <wp:docPr id="53" name="Rectangle à coins arrondis 53"/>
                <wp:cNvGraphicFramePr/>
                <a:graphic xmlns:a="http://schemas.openxmlformats.org/drawingml/2006/main">
                  <a:graphicData uri="http://schemas.microsoft.com/office/word/2010/wordprocessingShape">
                    <wps:wsp>
                      <wps:cNvSpPr>
                        <a:spLocks noChangeArrowheads="1"/>
                      </wps:cNvSpPr>
                      <wps:spPr bwMode="auto">
                        <a:xfrm>
                          <a:off x="0" y="0"/>
                          <a:ext cx="5431790"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53" o:spid="_x0000_s1026" o:spt="2" style="position:absolute;left:0pt;margin-left:70.2pt;margin-top:4.7pt;height:18.55pt;width:427.7pt;z-index:251664384;v-text-anchor:middle;mso-width-relative:page;mso-height-relative:page;" fillcolor="#FFFFFF" filled="t" stroked="t" coordsize="21600,21600" arcsize="0.166666666666667" o:gfxdata="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Rurwi2AAAAAgBAAAP&#10;AAAAAAAAAAEAIAAAACIAAABkcnMvZG93bnJldi54bWxQSwECFAAUAAAACACHTuJARhKD5lECAAC5&#10;BAAADgAAAAAAAAABACAAAAAnAQAAZHJzL2Uyb0RvYy54bWxQSwUGAAAAAAYABgBZAQAA6gUAAAAA&#10;">
                <v:fill on="t" focussize="0,0"/>
                <v:stroke weight="0.737007874015748pt" color="#000000" miterlimit="8" joinstyle="miter"/>
                <v:imagedata o:title=""/>
                <o:lock v:ext="edit" aspectratio="f"/>
              </v:roundrect>
            </w:pict>
          </mc:Fallback>
        </mc:AlternateContent>
      </w:r>
      <w:r>
        <w:rPr>
          <w:b/>
          <w:bCs/>
          <w:sz w:val="24"/>
          <w:szCs w:val="24"/>
        </w:rPr>
        <w:t>Je soussigné :</w:t>
      </w:r>
    </w:p>
    <w:p>
      <w:pPr>
        <w:spacing w:after="0" w:line="360" w:lineRule="auto"/>
        <w:ind w:right="-142"/>
        <w:jc w:val="both"/>
        <w:rPr>
          <w:sz w:val="18"/>
          <w:szCs w:val="18"/>
        </w:rPr>
      </w:pPr>
    </w:p>
    <w:p>
      <w:pPr>
        <w:spacing w:after="0" w:line="360" w:lineRule="auto"/>
        <w:jc w:val="both"/>
        <w:rPr>
          <w:sz w:val="18"/>
          <w:szCs w:val="18"/>
        </w:rPr>
      </w:pPr>
    </w:p>
    <w:p>
      <w:pPr>
        <w:spacing w:after="0" w:line="360" w:lineRule="auto"/>
        <w:jc w:val="both"/>
        <w:rPr>
          <w:b/>
          <w:bCs/>
        </w:rPr>
      </w:pPr>
      <w:r>
        <w:rPr>
          <w:b/>
          <w:bCs/>
        </w:rPr>
        <w:t>Chef de l’établissement socio-économique partenaire</w:t>
      </w:r>
    </w:p>
    <w:p>
      <w:pPr>
        <w:spacing w:after="0" w:line="360" w:lineRule="auto"/>
        <w:jc w:val="both"/>
        <w:rPr>
          <w:sz w:val="18"/>
          <w:szCs w:val="18"/>
        </w:rPr>
      </w:pPr>
      <w:r>
        <w:rPr>
          <w:sz w:val="18"/>
          <w:szCs w:val="18"/>
          <w:lang w:eastAsia="fr-FR"/>
        </w:rPr>
        <mc:AlternateContent>
          <mc:Choice Requires="wps">
            <w:drawing>
              <wp:anchor distT="0" distB="0" distL="114300" distR="114300" simplePos="0" relativeHeight="251666432" behindDoc="0" locked="0" layoutInCell="1" allowOverlap="1">
                <wp:simplePos x="0" y="0"/>
                <wp:positionH relativeFrom="column">
                  <wp:posOffset>-29210</wp:posOffset>
                </wp:positionH>
                <wp:positionV relativeFrom="paragraph">
                  <wp:posOffset>84455</wp:posOffset>
                </wp:positionV>
                <wp:extent cx="6353810" cy="235585"/>
                <wp:effectExtent l="0" t="0" r="28575" b="12065"/>
                <wp:wrapNone/>
                <wp:docPr id="54" name="Rectangle à coins arrondis 54"/>
                <wp:cNvGraphicFramePr/>
                <a:graphic xmlns:a="http://schemas.openxmlformats.org/drawingml/2006/main">
                  <a:graphicData uri="http://schemas.microsoft.com/office/word/2010/wordprocessingShape">
                    <wps:wsp>
                      <wps:cNvSpPr>
                        <a:spLocks noChangeArrowheads="1"/>
                      </wps:cNvSpPr>
                      <wps:spPr bwMode="auto">
                        <a:xfrm>
                          <a:off x="0" y="0"/>
                          <a:ext cx="6353505" cy="23558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54" o:spid="_x0000_s1026" o:spt="2" style="position:absolute;left:0pt;margin-left:-2.3pt;margin-top:6.65pt;height:18.55pt;width:500.3pt;z-index:251666432;v-text-anchor:middle;mso-width-relative:page;mso-height-relative:page;" fillcolor="#FFFFFF" filled="t" stroked="t" coordsize="21600,21600" arcsize="0.166666666666667" o:gfxdata="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IGKj2AAAAAgBAAAP&#10;AAAAAAAAAAEAIAAAACIAAABkcnMvZG93bnJldi54bWxQSwECFAAUAAAACACHTuJApEUg9VECAAC5&#10;BAAADgAAAAAAAAABACAAAAAnAQAAZHJzL2Uyb0RvYy54bWxQSwUGAAAAAAYABgBZAQAA6gUAAAAA&#10;">
                <v:fill on="t" focussize="0,0"/>
                <v:stroke weight="0.737007874015748pt" color="#000000" miterlimit="8" joinstyle="miter"/>
                <v:imagedata o:title=""/>
                <o:lock v:ext="edit" aspectratio="f"/>
              </v:roundrect>
            </w:pict>
          </mc:Fallback>
        </mc:AlternateContent>
      </w:r>
    </w:p>
    <w:p>
      <w:pPr>
        <w:spacing w:after="0" w:line="360" w:lineRule="auto"/>
        <w:jc w:val="both"/>
        <w:rPr>
          <w:sz w:val="18"/>
          <w:szCs w:val="18"/>
        </w:rPr>
      </w:pPr>
    </w:p>
    <w:p>
      <w:pPr>
        <w:spacing w:after="0" w:line="360" w:lineRule="auto"/>
        <w:jc w:val="both"/>
        <w:rPr>
          <w:sz w:val="18"/>
          <w:szCs w:val="18"/>
        </w:rPr>
      </w:pPr>
    </w:p>
    <w:p>
      <w:pPr>
        <w:spacing w:after="0" w:line="360" w:lineRule="auto"/>
        <w:jc w:val="both"/>
        <w:rPr>
          <w:b/>
          <w:bCs/>
        </w:rPr>
      </w:pPr>
      <w:r>
        <w:rPr>
          <w:b/>
          <w:bCs/>
        </w:rPr>
        <w:t xml:space="preserve">Atteste que la problématique du projet de recherche intitulé : </w:t>
      </w:r>
    </w:p>
    <w:p>
      <w:pPr>
        <w:spacing w:after="0" w:line="360" w:lineRule="auto"/>
        <w:jc w:val="both"/>
        <w:rPr>
          <w:sz w:val="18"/>
          <w:szCs w:val="18"/>
        </w:rPr>
      </w:pPr>
      <w:r>
        <w:rPr>
          <w:sz w:val="18"/>
          <w:szCs w:val="18"/>
          <w:lang w:eastAsia="fr-FR"/>
        </w:rPr>
        <mc:AlternateContent>
          <mc:Choice Requires="wps">
            <w:drawing>
              <wp:anchor distT="0" distB="0" distL="114300" distR="114300" simplePos="0" relativeHeight="251667456" behindDoc="0" locked="0" layoutInCell="1" allowOverlap="1">
                <wp:simplePos x="0" y="0"/>
                <wp:positionH relativeFrom="column">
                  <wp:posOffset>-45085</wp:posOffset>
                </wp:positionH>
                <wp:positionV relativeFrom="paragraph">
                  <wp:posOffset>46355</wp:posOffset>
                </wp:positionV>
                <wp:extent cx="6375400" cy="629285"/>
                <wp:effectExtent l="0" t="0" r="26035" b="18415"/>
                <wp:wrapNone/>
                <wp:docPr id="55" name="Rectangle à coins arrondis 55"/>
                <wp:cNvGraphicFramePr/>
                <a:graphic xmlns:a="http://schemas.openxmlformats.org/drawingml/2006/main">
                  <a:graphicData uri="http://schemas.microsoft.com/office/word/2010/wordprocessingShape">
                    <wps:wsp>
                      <wps:cNvSpPr>
                        <a:spLocks noChangeArrowheads="1"/>
                      </wps:cNvSpPr>
                      <wps:spPr bwMode="auto">
                        <a:xfrm>
                          <a:off x="0" y="0"/>
                          <a:ext cx="6375121" cy="629393"/>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55" o:spid="_x0000_s1026" o:spt="2" style="position:absolute;left:0pt;margin-left:-3.55pt;margin-top:3.65pt;height:49.55pt;width:502pt;z-index:251667456;v-text-anchor:middle;mso-width-relative:page;mso-height-relative:page;" fillcolor="#FFFFFF" filled="t" stroked="t" coordsize="21600,21600" arcsize="0.166666666666667" o:gfxdata="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7N5W2AAAAAgBAAAP&#10;AAAAAAAAAAEAIAAAACIAAABkcnMvZG93bnJldi54bWxQSwECFAAUAAAACACHTuJAMByi2VECAAC5&#10;BAAADgAAAAAAAAABACAAAAAnAQAAZHJzL2Uyb0RvYy54bWxQSwUGAAAAAAYABgBZAQAA6gUAAAAA&#10;">
                <v:fill on="t" focussize="0,0"/>
                <v:stroke weight="0.737007874015748pt" color="#000000" miterlimit="8" joinstyle="miter"/>
                <v:imagedata o:title=""/>
                <o:lock v:ext="edit" aspectratio="f"/>
              </v:roundrect>
            </w:pict>
          </mc:Fallback>
        </mc:AlternateContent>
      </w:r>
    </w:p>
    <w:p>
      <w:pPr>
        <w:spacing w:after="0"/>
        <w:jc w:val="both"/>
        <w:rPr>
          <w:sz w:val="18"/>
          <w:szCs w:val="18"/>
        </w:rPr>
      </w:pPr>
    </w:p>
    <w:p>
      <w:pPr>
        <w:spacing w:after="0"/>
        <w:jc w:val="both"/>
        <w:rPr>
          <w:b/>
          <w:bCs/>
        </w:rPr>
      </w:pPr>
    </w:p>
    <w:p>
      <w:pPr>
        <w:spacing w:after="0"/>
        <w:jc w:val="both"/>
        <w:rPr>
          <w:b/>
          <w:bCs/>
        </w:rPr>
      </w:pPr>
    </w:p>
    <w:p>
      <w:pPr>
        <w:spacing w:after="0"/>
        <w:jc w:val="both"/>
        <w:rPr>
          <w:b/>
          <w:bCs/>
        </w:rPr>
      </w:pPr>
      <w:r>
        <w:rPr>
          <w:b/>
          <w:bCs/>
        </w:rPr>
        <w:t xml:space="preserve">A été proposé et formulé par notre établissement  </w:t>
      </w:r>
      <w:r>
        <w:rPr>
          <w:b/>
          <w:bCs/>
          <w:vertAlign w:val="superscript"/>
        </w:rPr>
        <w:t>(1)</w:t>
      </w:r>
      <w:r>
        <w:rPr>
          <w:b/>
          <w:bCs/>
        </w:rPr>
        <w:t> :</w:t>
      </w:r>
    </w:p>
    <w:p>
      <w:pPr>
        <w:spacing w:after="0"/>
        <w:jc w:val="both"/>
        <w:rPr>
          <w:sz w:val="18"/>
          <w:szCs w:val="18"/>
        </w:rPr>
      </w:pPr>
      <w:r>
        <w:rPr>
          <w:lang w:eastAsia="fr-FR"/>
        </w:rPr>
        <mc:AlternateContent>
          <mc:Choice Requires="wps">
            <w:drawing>
              <wp:anchor distT="0" distB="0" distL="114300" distR="114300" simplePos="0" relativeHeight="251665408" behindDoc="0" locked="0" layoutInCell="1" allowOverlap="1">
                <wp:simplePos x="0" y="0"/>
                <wp:positionH relativeFrom="column">
                  <wp:posOffset>-45085</wp:posOffset>
                </wp:positionH>
                <wp:positionV relativeFrom="paragraph">
                  <wp:posOffset>121285</wp:posOffset>
                </wp:positionV>
                <wp:extent cx="6374765" cy="226695"/>
                <wp:effectExtent l="0" t="0" r="26035" b="20955"/>
                <wp:wrapNone/>
                <wp:docPr id="56" name="Rectangle à coins arrondis 56"/>
                <wp:cNvGraphicFramePr/>
                <a:graphic xmlns:a="http://schemas.openxmlformats.org/drawingml/2006/main">
                  <a:graphicData uri="http://schemas.microsoft.com/office/word/2010/wordprocessingShape">
                    <wps:wsp>
                      <wps:cNvSpPr>
                        <a:spLocks noChangeArrowheads="1"/>
                      </wps:cNvSpPr>
                      <wps:spPr bwMode="auto">
                        <a:xfrm>
                          <a:off x="0" y="0"/>
                          <a:ext cx="6374765" cy="226695"/>
                        </a:xfrm>
                        <a:prstGeom prst="roundRect">
                          <a:avLst>
                            <a:gd name="adj" fmla="val 16667"/>
                          </a:avLst>
                        </a:prstGeom>
                        <a:solidFill>
                          <a:srgbClr val="FFFFFF"/>
                        </a:solidFill>
                        <a:ln w="9360">
                          <a:solidFill>
                            <a:srgbClr val="000000"/>
                          </a:solidFill>
                          <a:miter lim="800000"/>
                        </a:ln>
                      </wps:spPr>
                      <wps:bodyPr rot="0" vert="horz" wrap="square" lIns="91440" tIns="45720" rIns="91440" bIns="45720" anchor="ctr" anchorCtr="0" upright="1">
                        <a:noAutofit/>
                      </wps:bodyPr>
                    </wps:wsp>
                  </a:graphicData>
                </a:graphic>
              </wp:anchor>
            </w:drawing>
          </mc:Choice>
          <mc:Fallback>
            <w:pict>
              <v:roundrect id="Rectangle à coins arrondis 56" o:spid="_x0000_s1026" o:spt="2" style="position:absolute;left:0pt;margin-left:-3.55pt;margin-top:9.55pt;height:17.85pt;width:501.95pt;z-index:251665408;v-text-anchor:middle;mso-width-relative:page;mso-height-relative:page;" fillcolor="#FFFFFF" filled="t" stroked="t" coordsize="21600,21600" arcsize="0.166666666666667" o:gfxdata="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8HDR2AAAAAgBAAAP&#10;AAAAAAAAAAEAIAAAACIAAABkcnMvZG93bnJldi54bWxQSwECFAAUAAAACACHTuJANTb7dFECAAC5&#10;BAAADgAAAAAAAAABACAAAAAnAQAAZHJzL2Uyb0RvYy54bWxQSwUGAAAAAAYABgBZAQAA6gUAAAAA&#10;">
                <v:fill on="t" focussize="0,0"/>
                <v:stroke weight="0.737007874015748pt" color="#000000" miterlimit="8" joinstyle="miter"/>
                <v:imagedata o:title=""/>
                <o:lock v:ext="edit" aspectratio="f"/>
              </v:roundrect>
            </w:pict>
          </mc:Fallback>
        </mc:AlternateContent>
      </w:r>
    </w:p>
    <w:p>
      <w:pPr>
        <w:spacing w:before="120" w:after="0"/>
        <w:jc w:val="both"/>
        <w:rPr>
          <w:sz w:val="18"/>
          <w:szCs w:val="18"/>
        </w:rPr>
      </w:pPr>
    </w:p>
    <w:p>
      <w:pPr>
        <w:spacing w:before="120" w:after="0"/>
        <w:jc w:val="both"/>
        <w:rPr>
          <w:b/>
          <w:bCs/>
        </w:rPr>
      </w:pPr>
      <w:r>
        <w:rPr>
          <w:b/>
          <w:bCs/>
        </w:rPr>
        <w:t>Et que les résultats attendus seront à même d’apporter des solutions à nos préoccupations.</w:t>
      </w:r>
    </w:p>
    <w:p>
      <w:pPr>
        <w:spacing w:before="120" w:after="120"/>
        <w:jc w:val="both"/>
        <w:rPr>
          <w:sz w:val="18"/>
          <w:szCs w:val="18"/>
        </w:rPr>
      </w:pPr>
      <w:r>
        <w:rPr>
          <w:sz w:val="18"/>
          <w:szCs w:val="18"/>
        </w:rPr>
        <w:t xml:space="preserve">                                                                              A…………………………  le  ……………………..   </w:t>
      </w:r>
    </w:p>
    <w:p>
      <w:pPr>
        <w:tabs>
          <w:tab w:val="left" w:pos="5570"/>
        </w:tabs>
        <w:jc w:val="right"/>
        <w:rPr>
          <w:b/>
          <w:bCs/>
          <w:sz w:val="24"/>
          <w:szCs w:val="24"/>
        </w:rPr>
      </w:pPr>
      <w:r>
        <w:rPr>
          <w:b/>
          <w:bCs/>
          <w:sz w:val="24"/>
          <w:szCs w:val="24"/>
        </w:rPr>
        <w:t>Chef d’établissement socio-économique partenaire</w:t>
      </w:r>
    </w:p>
    <w:p>
      <w:pPr>
        <w:rPr>
          <w:b/>
          <w:bCs/>
          <w:sz w:val="24"/>
          <w:szCs w:val="24"/>
        </w:rPr>
      </w:pPr>
      <w:r>
        <w:rPr>
          <w:b/>
          <w:bCs/>
          <w:sz w:val="24"/>
          <w:szCs w:val="24"/>
        </w:rPr>
        <w:br w:type="page"/>
      </w:r>
    </w:p>
    <w:p>
      <w:pPr>
        <w:tabs>
          <w:tab w:val="left" w:pos="5570"/>
        </w:tabs>
        <w:jc w:val="right"/>
        <w:rPr>
          <w:b/>
          <w:bCs/>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709" w:footer="709" w:gutter="0"/>
          <w:cols w:space="708" w:num="1"/>
          <w:docGrid w:linePitch="360" w:charSpace="0"/>
        </w:sectPr>
      </w:pPr>
    </w:p>
    <w:p>
      <w:pPr>
        <w:pStyle w:val="31"/>
        <w:spacing w:before="60"/>
        <w:rPr>
          <w:rFonts w:ascii="Tahoma" w:hAnsi="Tahoma" w:cs="Tahoma"/>
          <w:sz w:val="24"/>
          <w:szCs w:val="24"/>
          <w:u w:val="none"/>
        </w:rPr>
      </w:pPr>
      <w:r>
        <w:rPr>
          <w:rFonts w:ascii="Tahoma" w:hAnsi="Tahoma" w:cs="Tahoma"/>
          <w:sz w:val="24"/>
          <w:szCs w:val="24"/>
          <w:u w:val="none"/>
        </w:rPr>
        <w:t>REPUBLIQUE ALGERIENNE DEMOCRATIQUE ET POPULAIRE</w:t>
      </w:r>
    </w:p>
    <w:p>
      <w:pPr>
        <w:pStyle w:val="31"/>
        <w:spacing w:before="60"/>
        <w:rPr>
          <w:rFonts w:ascii="Tahoma" w:hAnsi="Tahoma" w:cs="Tahoma"/>
          <w:sz w:val="10"/>
          <w:szCs w:val="10"/>
          <w:u w:val="none"/>
        </w:rPr>
      </w:pPr>
      <w:r>
        <w:rPr>
          <w:lang w:eastAsia="fr-FR"/>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71755</wp:posOffset>
                </wp:positionV>
                <wp:extent cx="914400" cy="0"/>
                <wp:effectExtent l="12700" t="12065" r="6350" b="6985"/>
                <wp:wrapNone/>
                <wp:docPr id="13" name="Connecteur droit 13"/>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rnd">
                          <a:solidFill>
                            <a:srgbClr val="000000"/>
                          </a:solidFill>
                          <a:prstDash val="sysDot"/>
                          <a:miter lim="800000"/>
                        </a:ln>
                      </wps:spPr>
                      <wps:bodyPr/>
                    </wps:wsp>
                  </a:graphicData>
                </a:graphic>
              </wp:anchor>
            </w:drawing>
          </mc:Choice>
          <mc:Fallback>
            <w:pict>
              <v:line id="_x0000_s1026" o:spid="_x0000_s1026" o:spt="20" style="position:absolute;left:0pt;margin-top:5.65pt;height:0pt;width:72pt;mso-position-horizontal:center;z-index:251670528;mso-width-relative:page;mso-height-relative:page;" filled="f" stroked="t" coordsize="21600,21600" o:gfxdata="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jwFWtMAAAAG&#10;AQAADwAAAAAAAAABACAAAAAiAAAAZHJzL2Rvd25yZXYueG1sUEsBAhQAFAAAAAgAh07iQNimgd3o&#10;AQAA3QMAAA4AAAAAAAAAAQAgAAAAIgEAAGRycy9lMm9Eb2MueG1sUEsFBgAAAAAGAAYAWQEAAHwF&#10;AAAAAA==&#10;">
                <v:fill on="f" focussize="0,0"/>
                <v:stroke weight="0.737007874015748pt" color="#000000" miterlimit="8" joinstyle="miter" dashstyle="1 1" endcap="round"/>
                <v:imagedata o:title=""/>
                <o:lock v:ext="edit" aspectratio="f"/>
              </v:line>
            </w:pict>
          </mc:Fallback>
        </mc:AlternateContent>
      </w:r>
    </w:p>
    <w:p>
      <w:pPr>
        <w:pStyle w:val="31"/>
        <w:spacing w:before="60"/>
        <w:rPr>
          <w:rFonts w:ascii="Tahoma" w:hAnsi="Tahoma" w:cs="Tahoma"/>
          <w:sz w:val="22"/>
          <w:szCs w:val="22"/>
          <w:u w:val="none"/>
        </w:rPr>
      </w:pPr>
      <w:r>
        <w:rPr>
          <w:rFonts w:ascii="Tahoma" w:hAnsi="Tahoma" w:cs="Tahoma"/>
          <w:sz w:val="22"/>
          <w:szCs w:val="22"/>
          <w:u w:val="none"/>
        </w:rPr>
        <w:t>MINISTERE DE L'ENSEIGNEMENT SUPERIEUR ET DE LA RECHERCHE SCIENTIFIQUE</w:t>
      </w:r>
    </w:p>
    <w:p>
      <w:pPr>
        <w:tabs>
          <w:tab w:val="center" w:pos="4819"/>
          <w:tab w:val="left" w:pos="6240"/>
        </w:tabs>
        <w:spacing w:before="120"/>
        <w:jc w:val="center"/>
        <w:rPr>
          <w:rFonts w:ascii="Coronet" w:hAnsi="Coronet"/>
          <w:b/>
          <w:iCs/>
          <w:sz w:val="34"/>
          <w:szCs w:val="34"/>
          <w:lang w:eastAsia="ar-SA"/>
        </w:rPr>
      </w:pPr>
      <w:r>
        <w:rPr>
          <w:rFonts w:ascii="Times New Roman" w:hAnsi="Times New Roman"/>
          <w:sz w:val="24"/>
          <w:szCs w:val="24"/>
          <w:lang w:eastAsia="fr-FR"/>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97155</wp:posOffset>
                </wp:positionV>
                <wp:extent cx="914400" cy="0"/>
                <wp:effectExtent l="12700" t="12700" r="6350" b="6350"/>
                <wp:wrapNone/>
                <wp:docPr id="12" name="Connecteur droit 12"/>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rnd">
                          <a:solidFill>
                            <a:srgbClr val="000000"/>
                          </a:solidFill>
                          <a:prstDash val="sysDot"/>
                          <a:miter lim="800000"/>
                        </a:ln>
                      </wps:spPr>
                      <wps:bodyPr/>
                    </wps:wsp>
                  </a:graphicData>
                </a:graphic>
              </wp:anchor>
            </w:drawing>
          </mc:Choice>
          <mc:Fallback>
            <w:pict>
              <v:line id="_x0000_s1026" o:spid="_x0000_s1026" o:spt="20" style="position:absolute;left:0pt;margin-top:7.65pt;height:0pt;width:72pt;mso-position-horizontal:center;z-index:251669504;mso-width-relative:page;mso-height-relative:page;" filled="f" stroked="t" coordsize="21600,21600" o:gfxdata="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gbt60wAAAAYB&#10;AAAPAAAAAAAAAAEAIAAAACIAAABkcnMvZG93bnJldi54bWxQSwECFAAUAAAACACHTuJAMcpD6ucB&#10;AADdAwAADgAAAAAAAAABACAAAAAiAQAAZHJzL2Uyb0RvYy54bWxQSwUGAAAAAAYABgBZAQAAewUA&#10;AAAA&#10;">
                <v:fill on="f" focussize="0,0"/>
                <v:stroke weight="0.737007874015748pt" color="#000000" miterlimit="8" joinstyle="miter" dashstyle="1 1" endcap="round"/>
                <v:imagedata o:title=""/>
                <o:lock v:ext="edit" aspectratio="f"/>
              </v:line>
            </w:pict>
          </mc:Fallback>
        </mc:AlternateContent>
      </w:r>
      <w:r>
        <w:rPr>
          <w:rFonts w:ascii="Coronet" w:hAnsi="Coronet"/>
          <w:b/>
          <w:iCs/>
          <w:sz w:val="34"/>
          <w:szCs w:val="34"/>
          <w:lang w:eastAsia="ar-SA"/>
        </w:rPr>
        <w:t>Direction Générale de la Recherche Scientifique et du Développement Technologique</w:t>
      </w:r>
    </w:p>
    <w:p>
      <w:pPr>
        <w:jc w:val="center"/>
        <w:rPr>
          <w:b/>
          <w:sz w:val="20"/>
          <w:lang w:eastAsia="ar-SA"/>
        </w:rPr>
      </w:pPr>
    </w:p>
    <w:p>
      <w:pPr>
        <w:pStyle w:val="5"/>
        <w:tabs>
          <w:tab w:val="left" w:pos="0"/>
        </w:tabs>
        <w:spacing w:before="240" w:line="180" w:lineRule="auto"/>
        <w:rPr>
          <w:rFonts w:ascii="Verdana" w:hAnsi="Verdana"/>
          <w:b/>
          <w:bCs/>
          <w:i/>
          <w:iCs/>
          <w:sz w:val="40"/>
          <w:szCs w:val="40"/>
        </w:rPr>
      </w:pPr>
      <w:r>
        <w:rPr>
          <w:rFonts w:ascii="Bookman Old Style" w:hAnsi="Bookman Old Style"/>
          <w:b/>
          <w:bCs/>
          <w:sz w:val="30"/>
          <w:szCs w:val="30"/>
        </w:rPr>
        <w:t>FORMULAIRE DE DEMANDE DE FINANCEMENT DE PROJET PNR</w:t>
      </w:r>
    </w:p>
    <w:p>
      <w:pPr>
        <w:jc w:val="center"/>
        <w:rPr>
          <w:b/>
          <w:lang w:eastAsia="ar-SA"/>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3021"/>
        <w:gridCol w:w="3375"/>
        <w:gridCol w:w="5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228" w:type="dxa"/>
            <w:gridSpan w:val="4"/>
            <w:vAlign w:val="center"/>
          </w:tcPr>
          <w:p>
            <w:pPr>
              <w:spacing w:before="240" w:line="360" w:lineRule="auto"/>
              <w:rPr>
                <w:rFonts w:ascii="Bookman Old Style" w:hAnsi="Bookman Old Style"/>
                <w:b/>
                <w:lang w:eastAsia="ar-SA"/>
              </w:rPr>
            </w:pPr>
            <w:r>
              <w:rPr>
                <w:rFonts w:ascii="Bookman Old Style" w:hAnsi="Bookman Old Style"/>
                <w:b/>
                <w:lang w:eastAsia="ar-SA"/>
              </w:rPr>
              <w:t xml:space="preserve">Etablissement de domiciliation Du projet: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5228" w:type="dxa"/>
            <w:gridSpan w:val="4"/>
            <w:vAlign w:val="center"/>
          </w:tcPr>
          <w:p>
            <w:pPr>
              <w:spacing w:before="240" w:line="360" w:lineRule="auto"/>
              <w:rPr>
                <w:rFonts w:ascii="Bookman Old Style" w:hAnsi="Bookman Old Style"/>
                <w:b/>
                <w:lang w:eastAsia="ar-SA"/>
              </w:rPr>
            </w:pPr>
            <w:r>
              <w:rPr>
                <w:rFonts w:ascii="Bookman Old Style" w:hAnsi="Bookman Old Style"/>
                <w:b/>
                <w:lang w:eastAsia="ar-SA"/>
              </w:rPr>
              <w:t>Agence thématique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5228" w:type="dxa"/>
            <w:gridSpan w:val="4"/>
            <w:vAlign w:val="center"/>
          </w:tcPr>
          <w:p>
            <w:pPr>
              <w:spacing w:line="360" w:lineRule="auto"/>
              <w:rPr>
                <w:b/>
                <w:lang w:eastAsia="ar-SA"/>
              </w:rPr>
            </w:pPr>
            <w:r>
              <w:rPr>
                <w:rFonts w:ascii="Bookman Old Style" w:hAnsi="Bookman Old Style"/>
                <w:b/>
                <w:lang w:eastAsia="ar-SA"/>
              </w:rPr>
              <w:t xml:space="preserve">Intitulé exact du projet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8" w:type="dxa"/>
            <w:gridSpan w:val="4"/>
            <w:vAlign w:val="center"/>
          </w:tcPr>
          <w:p>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 xml:space="preserve">Nom et prénom (s) du chef </w:t>
            </w:r>
            <w:r>
              <w:rPr>
                <w:rFonts w:ascii="Bookman Old Style" w:hAnsi="Bookman Old Style"/>
                <w:b/>
                <w:lang w:eastAsia="ar-SA"/>
              </w:rPr>
              <w:t>de projet</w:t>
            </w:r>
            <w:r>
              <w:rPr>
                <w:rFonts w:ascii="Bookman Old Style" w:hAnsi="Bookman Old Style"/>
                <w:b/>
                <w:lang w:eastAsia="ar-DZ" w:bidi="ar-DZ"/>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28" w:type="dxa"/>
            <w:gridSpan w:val="4"/>
            <w:vAlign w:val="center"/>
          </w:tcPr>
          <w:p>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 xml:space="preserve">Adresse: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Tél:</w:t>
            </w:r>
          </w:p>
        </w:tc>
        <w:tc>
          <w:tcPr>
            <w:tcW w:w="3208" w:type="dxa"/>
            <w:vAlign w:val="center"/>
          </w:tcPr>
          <w:p>
            <w:pPr>
              <w:tabs>
                <w:tab w:val="left" w:pos="720"/>
              </w:tabs>
              <w:suppressAutoHyphens/>
              <w:spacing w:before="120" w:line="360" w:lineRule="auto"/>
              <w:ind w:left="154"/>
              <w:rPr>
                <w:rFonts w:ascii="Bookman Old Style" w:hAnsi="Bookman Old Style"/>
                <w:b/>
                <w:lang w:eastAsia="ar-DZ" w:bidi="ar-DZ"/>
              </w:rPr>
            </w:pPr>
            <w:r>
              <w:rPr>
                <w:rFonts w:ascii="Bookman Old Style" w:hAnsi="Bookman Old Style"/>
                <w:b/>
                <w:lang w:eastAsia="ar-DZ" w:bidi="ar-DZ"/>
              </w:rPr>
              <w:t>GSM :</w:t>
            </w:r>
          </w:p>
        </w:tc>
        <w:tc>
          <w:tcPr>
            <w:tcW w:w="3600" w:type="dxa"/>
            <w:vAlign w:val="center"/>
          </w:tcPr>
          <w:p>
            <w:pPr>
              <w:tabs>
                <w:tab w:val="left" w:pos="720"/>
              </w:tabs>
              <w:suppressAutoHyphens/>
              <w:spacing w:before="120" w:line="360" w:lineRule="auto"/>
              <w:ind w:left="117"/>
              <w:rPr>
                <w:rFonts w:ascii="Bookman Old Style" w:hAnsi="Bookman Old Style"/>
                <w:b/>
                <w:lang w:eastAsia="ar-DZ" w:bidi="ar-DZ"/>
              </w:rPr>
            </w:pPr>
            <w:r>
              <w:rPr>
                <w:rFonts w:ascii="Bookman Old Style" w:hAnsi="Bookman Old Style"/>
                <w:b/>
                <w:lang w:eastAsia="ar-DZ" w:bidi="ar-DZ"/>
              </w:rPr>
              <w:t>E-mail :</w:t>
            </w:r>
          </w:p>
        </w:tc>
        <w:tc>
          <w:tcPr>
            <w:tcW w:w="5760" w:type="dxa"/>
            <w:vAlign w:val="center"/>
          </w:tcPr>
          <w:p>
            <w:pPr>
              <w:tabs>
                <w:tab w:val="left" w:pos="720"/>
              </w:tabs>
              <w:suppressAutoHyphens/>
              <w:spacing w:before="120" w:line="360" w:lineRule="auto"/>
              <w:rPr>
                <w:rFonts w:ascii="Bookman Old Style" w:hAnsi="Bookman Old Style"/>
                <w:b/>
                <w:lang w:eastAsia="ar-DZ" w:bidi="ar-DZ"/>
              </w:rPr>
            </w:pPr>
            <w:r>
              <w:rPr>
                <w:rFonts w:ascii="Bookman Old Style" w:hAnsi="Bookman Old Style"/>
                <w:b/>
                <w:lang w:eastAsia="ar-DZ" w:bidi="ar-DZ"/>
              </w:rPr>
              <w:t>Site Web :</w:t>
            </w:r>
          </w:p>
        </w:tc>
      </w:tr>
    </w:tbl>
    <w:p>
      <w:pPr>
        <w:pStyle w:val="4"/>
        <w:spacing w:before="0"/>
        <w:rPr>
          <w:rFonts w:ascii="Times New Roman" w:hAnsi="Times New Roman" w:cs="Times New Roman"/>
          <w:bCs w:val="0"/>
          <w:sz w:val="32"/>
          <w:szCs w:val="32"/>
          <w:lang w:eastAsia="ar-SA"/>
        </w:rPr>
      </w:pPr>
    </w:p>
    <w:p>
      <w:pPr>
        <w:jc w:val="both"/>
        <w:rPr>
          <w:b/>
          <w:sz w:val="10"/>
          <w:szCs w:val="10"/>
          <w:lang w:eastAsia="ar-SA"/>
        </w:rPr>
      </w:pPr>
    </w:p>
    <w:p>
      <w:pPr>
        <w:jc w:val="both"/>
        <w:rPr>
          <w:rFonts w:ascii="Verdana" w:hAnsi="Verdana" w:cs="Arial"/>
          <w:b/>
          <w:bCs/>
          <w:sz w:val="10"/>
          <w:szCs w:val="10"/>
        </w:rPr>
      </w:pPr>
      <w:r>
        <w:rPr>
          <w:rFonts w:ascii="Verdana" w:hAnsi="Verdana" w:cs="Arial"/>
          <w:b/>
          <w:bCs/>
          <w:sz w:val="10"/>
          <w:szCs w:val="10"/>
        </w:rPr>
        <w:t>……………………………………………………………………………………………………………………………………………………………………………………………………………………………………………………………………………………………………………………………………………………………………………………….</w:t>
      </w:r>
    </w:p>
    <w:p>
      <w:pPr>
        <w:jc w:val="both"/>
        <w:rPr>
          <w:rFonts w:ascii="Verdana" w:hAnsi="Verdana" w:cs="Arial"/>
          <w:b/>
          <w:bCs/>
          <w:sz w:val="10"/>
          <w:szCs w:val="10"/>
        </w:rPr>
      </w:pPr>
    </w:p>
    <w:tbl>
      <w:tblPr>
        <w:tblStyle w:val="16"/>
        <w:tblW w:w="15281" w:type="dxa"/>
        <w:tblInd w:w="70" w:type="dxa"/>
        <w:tblLayout w:type="autofit"/>
        <w:tblCellMar>
          <w:top w:w="0" w:type="dxa"/>
          <w:left w:w="70" w:type="dxa"/>
          <w:bottom w:w="0" w:type="dxa"/>
          <w:right w:w="70" w:type="dxa"/>
        </w:tblCellMar>
      </w:tblPr>
      <w:tblGrid>
        <w:gridCol w:w="720"/>
        <w:gridCol w:w="273"/>
        <w:gridCol w:w="5580"/>
        <w:gridCol w:w="27"/>
        <w:gridCol w:w="2133"/>
        <w:gridCol w:w="40"/>
        <w:gridCol w:w="1810"/>
        <w:gridCol w:w="1810"/>
        <w:gridCol w:w="2460"/>
        <w:gridCol w:w="428"/>
      </w:tblGrid>
      <w:tr>
        <w:tblPrEx>
          <w:tblCellMar>
            <w:top w:w="0" w:type="dxa"/>
            <w:left w:w="70" w:type="dxa"/>
            <w:bottom w:w="0" w:type="dxa"/>
            <w:right w:w="70" w:type="dxa"/>
          </w:tblCellMar>
        </w:tblPrEx>
        <w:trPr>
          <w:gridAfter w:val="1"/>
          <w:wAfter w:w="428" w:type="dxa"/>
          <w:trHeight w:val="330" w:hRule="atLeast"/>
        </w:trPr>
        <w:tc>
          <w:tcPr>
            <w:tcW w:w="720" w:type="dxa"/>
            <w:tcBorders>
              <w:top w:val="nil"/>
              <w:left w:val="nil"/>
              <w:bottom w:val="nil"/>
              <w:right w:val="nil"/>
            </w:tcBorders>
            <w:shd w:val="clear" w:color="auto" w:fill="auto"/>
            <w:noWrap/>
            <w:vAlign w:val="bottom"/>
          </w:tcPr>
          <w:p>
            <w:pPr>
              <w:rPr>
                <w:rFonts w:ascii="Arial" w:hAnsi="Arial" w:cs="Arial"/>
                <w:sz w:val="20"/>
                <w:szCs w:val="20"/>
              </w:rPr>
            </w:pPr>
            <w:r>
              <w:rPr>
                <w:rFonts w:ascii="Arial" w:hAnsi="Arial" w:cs="Arial"/>
                <w:sz w:val="20"/>
                <w:szCs w:val="20"/>
                <w:lang w:eastAsia="fr-FR"/>
              </w:rPr>
              <mc:AlternateContent>
                <mc:Choice Requires="wps">
                  <w:drawing>
                    <wp:anchor distT="0" distB="0" distL="114300" distR="114300" simplePos="0" relativeHeight="251668480" behindDoc="0" locked="0" layoutInCell="1" allowOverlap="1">
                      <wp:simplePos x="0" y="0"/>
                      <wp:positionH relativeFrom="column">
                        <wp:posOffset>-44450</wp:posOffset>
                      </wp:positionH>
                      <wp:positionV relativeFrom="paragraph">
                        <wp:posOffset>27305</wp:posOffset>
                      </wp:positionV>
                      <wp:extent cx="9707880" cy="577215"/>
                      <wp:effectExtent l="16510" t="16510" r="29210" b="25400"/>
                      <wp:wrapNone/>
                      <wp:docPr id="11" name="Zone de texte 11"/>
                      <wp:cNvGraphicFramePr/>
                      <a:graphic xmlns:a="http://schemas.openxmlformats.org/drawingml/2006/main">
                        <a:graphicData uri="http://schemas.microsoft.com/office/word/2010/wordprocessingShape">
                          <wps:wsp>
                            <wps:cNvSpPr txBox="1">
                              <a:spLocks noChangeArrowheads="1"/>
                            </wps:cNvSpPr>
                            <wps:spPr bwMode="auto">
                              <a:xfrm>
                                <a:off x="0" y="0"/>
                                <a:ext cx="9707880" cy="577215"/>
                              </a:xfrm>
                              <a:prstGeom prst="rect">
                                <a:avLst/>
                              </a:prstGeom>
                              <a:solidFill>
                                <a:srgbClr val="FFFFFF"/>
                              </a:solidFill>
                              <a:ln w="15875">
                                <a:solidFill>
                                  <a:srgbClr val="000000"/>
                                </a:solidFill>
                                <a:miter lim="800000"/>
                              </a:ln>
                              <a:effectLst>
                                <a:outerShdw dist="35921" dir="2700000" algn="ctr" rotWithShape="0">
                                  <a:srgbClr val="000000"/>
                                </a:outerShdw>
                              </a:effectLst>
                            </wps:spPr>
                            <wps:txbx>
                              <w:txbxContent>
                                <w:p>
                                  <w:pPr>
                                    <w:jc w:val="center"/>
                                    <w:rPr>
                                      <w:b/>
                                      <w:bCs/>
                                      <w:sz w:val="30"/>
                                      <w:szCs w:val="30"/>
                                    </w:rPr>
                                  </w:pPr>
                                  <w:r>
                                    <w:rPr>
                                      <w:b/>
                                      <w:bCs/>
                                      <w:sz w:val="30"/>
                                      <w:szCs w:val="30"/>
                                    </w:rPr>
                                    <w:t xml:space="preserve">B- Programmation triennale des crédits de fonctionnement indispensables pour réaliser les tâches du projet PNR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pt;margin-top:2.15pt;height:45.45pt;width:764.4pt;z-index:251668480;mso-width-relative:page;mso-height-relative:page;" fillcolor="#FFFFFF" filled="t" stroked="t" coordsize="21600,21600" o:gfxdata="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v+I8bZAAAACAEAAA8AAAAAAAAAAQAgAAAAIgAAAGRycy9k&#10;b3ducmV2LnhtbFBLAQIUABQAAAAIAIdO4kBcjraOcwIAABQFAAAOAAAAAAAAAAEAIAAAACgBAABk&#10;cnMvZTJvRG9jLnhtbFBLBQYAAAAABgAGAFkBAAANBgAAAAA=&#10;">
                      <v:fill on="t" focussize="0,0"/>
                      <v:stroke weight="1.25pt" color="#000000" miterlimit="8" joinstyle="miter"/>
                      <v:imagedata o:title=""/>
                      <o:lock v:ext="edit" aspectratio="f"/>
                      <v:shadow on="t" color="#000000" offset="2pt,2pt" origin="0f,0f" matrix="65536f,0f,0f,65536f"/>
                      <v:textbox>
                        <w:txbxContent>
                          <w:p>
                            <w:pPr>
                              <w:jc w:val="center"/>
                              <w:rPr>
                                <w:b/>
                                <w:bCs/>
                                <w:sz w:val="30"/>
                                <w:szCs w:val="30"/>
                              </w:rPr>
                            </w:pPr>
                            <w:r>
                              <w:rPr>
                                <w:b/>
                                <w:bCs/>
                                <w:sz w:val="30"/>
                                <w:szCs w:val="30"/>
                              </w:rPr>
                              <w:t xml:space="preserve">B- Programmation triennale des crédits de fonctionnement indispensables pour réaliser les tâches du projet PNR </w:t>
                            </w:r>
                          </w:p>
                        </w:txbxContent>
                      </v:textbox>
                    </v:shape>
                  </w:pict>
                </mc:Fallback>
              </mc:AlternateContent>
            </w:r>
          </w:p>
          <w:p>
            <w:pPr>
              <w:rPr>
                <w:rFonts w:ascii="Arial" w:hAnsi="Arial" w:cs="Arial"/>
                <w:sz w:val="20"/>
                <w:szCs w:val="20"/>
              </w:rPr>
            </w:pPr>
          </w:p>
        </w:tc>
        <w:tc>
          <w:tcPr>
            <w:tcW w:w="273" w:type="dxa"/>
            <w:tcBorders>
              <w:top w:val="nil"/>
              <w:left w:val="nil"/>
              <w:bottom w:val="nil"/>
              <w:right w:val="nil"/>
            </w:tcBorders>
            <w:shd w:val="clear" w:color="auto" w:fill="auto"/>
            <w:noWrap/>
            <w:vAlign w:val="bottom"/>
          </w:tcPr>
          <w:p>
            <w:pPr>
              <w:rPr>
                <w:rFonts w:ascii="Arial" w:hAnsi="Arial" w:cs="Arial"/>
                <w:sz w:val="20"/>
                <w:szCs w:val="20"/>
              </w:rPr>
            </w:pPr>
          </w:p>
        </w:tc>
        <w:tc>
          <w:tcPr>
            <w:tcW w:w="5580" w:type="dxa"/>
            <w:tcBorders>
              <w:top w:val="nil"/>
              <w:left w:val="nil"/>
              <w:bottom w:val="nil"/>
              <w:right w:val="nil"/>
            </w:tcBorders>
            <w:shd w:val="clear" w:color="auto" w:fill="auto"/>
            <w:noWrap/>
            <w:vAlign w:val="bottom"/>
          </w:tcPr>
          <w:p>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pPr>
              <w:rPr>
                <w:rFonts w:ascii="Arial" w:hAnsi="Arial" w:cs="Arial"/>
                <w:sz w:val="20"/>
                <w:szCs w:val="20"/>
              </w:rPr>
            </w:pPr>
          </w:p>
        </w:tc>
      </w:tr>
      <w:tr>
        <w:tblPrEx>
          <w:tblCellMar>
            <w:top w:w="0" w:type="dxa"/>
            <w:left w:w="70" w:type="dxa"/>
            <w:bottom w:w="0" w:type="dxa"/>
            <w:right w:w="70" w:type="dxa"/>
          </w:tblCellMar>
        </w:tblPrEx>
        <w:trPr>
          <w:gridAfter w:val="1"/>
          <w:wAfter w:w="428" w:type="dxa"/>
          <w:trHeight w:val="255" w:hRule="atLeast"/>
        </w:trPr>
        <w:tc>
          <w:tcPr>
            <w:tcW w:w="720" w:type="dxa"/>
            <w:tcBorders>
              <w:top w:val="nil"/>
              <w:left w:val="nil"/>
              <w:bottom w:val="nil"/>
              <w:right w:val="nil"/>
            </w:tcBorders>
            <w:shd w:val="clear" w:color="auto" w:fill="auto"/>
            <w:noWrap/>
            <w:vAlign w:val="bottom"/>
          </w:tcPr>
          <w:p>
            <w:pPr>
              <w:rPr>
                <w:rFonts w:ascii="Arial" w:hAnsi="Arial" w:cs="Arial"/>
                <w:sz w:val="20"/>
                <w:szCs w:val="20"/>
              </w:rPr>
            </w:pPr>
          </w:p>
        </w:tc>
        <w:tc>
          <w:tcPr>
            <w:tcW w:w="273" w:type="dxa"/>
            <w:tcBorders>
              <w:top w:val="nil"/>
              <w:left w:val="nil"/>
              <w:bottom w:val="nil"/>
              <w:right w:val="nil"/>
            </w:tcBorders>
            <w:shd w:val="clear" w:color="auto" w:fill="auto"/>
            <w:noWrap/>
            <w:vAlign w:val="bottom"/>
          </w:tcPr>
          <w:p>
            <w:pPr>
              <w:rPr>
                <w:rFonts w:ascii="Arial" w:hAnsi="Arial" w:cs="Arial"/>
                <w:sz w:val="20"/>
                <w:szCs w:val="20"/>
              </w:rPr>
            </w:pPr>
          </w:p>
        </w:tc>
        <w:tc>
          <w:tcPr>
            <w:tcW w:w="5580" w:type="dxa"/>
            <w:tcBorders>
              <w:top w:val="nil"/>
              <w:left w:val="nil"/>
              <w:bottom w:val="nil"/>
              <w:right w:val="nil"/>
            </w:tcBorders>
            <w:shd w:val="clear" w:color="auto" w:fill="auto"/>
            <w:noWrap/>
            <w:vAlign w:val="bottom"/>
          </w:tcPr>
          <w:p>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pPr>
              <w:rPr>
                <w:rFonts w:ascii="Arial" w:hAnsi="Arial" w:cs="Arial"/>
                <w:sz w:val="20"/>
                <w:szCs w:val="20"/>
              </w:rPr>
            </w:pPr>
          </w:p>
        </w:tc>
      </w:tr>
      <w:tr>
        <w:tblPrEx>
          <w:tblCellMar>
            <w:top w:w="0" w:type="dxa"/>
            <w:left w:w="70" w:type="dxa"/>
            <w:bottom w:w="0" w:type="dxa"/>
            <w:right w:w="70" w:type="dxa"/>
          </w:tblCellMar>
        </w:tblPrEx>
        <w:trPr>
          <w:gridAfter w:val="1"/>
          <w:wAfter w:w="428" w:type="dxa"/>
          <w:trHeight w:val="255" w:hRule="atLeast"/>
        </w:trPr>
        <w:tc>
          <w:tcPr>
            <w:tcW w:w="720" w:type="dxa"/>
            <w:tcBorders>
              <w:top w:val="nil"/>
              <w:left w:val="nil"/>
              <w:bottom w:val="nil"/>
              <w:right w:val="nil"/>
            </w:tcBorders>
            <w:shd w:val="clear" w:color="auto" w:fill="auto"/>
            <w:noWrap/>
            <w:vAlign w:val="bottom"/>
          </w:tcPr>
          <w:p>
            <w:pPr>
              <w:rPr>
                <w:rFonts w:ascii="Arial" w:hAnsi="Arial" w:cs="Arial"/>
                <w:sz w:val="20"/>
                <w:szCs w:val="20"/>
              </w:rPr>
            </w:pPr>
          </w:p>
        </w:tc>
        <w:tc>
          <w:tcPr>
            <w:tcW w:w="273" w:type="dxa"/>
            <w:tcBorders>
              <w:top w:val="nil"/>
              <w:left w:val="nil"/>
              <w:bottom w:val="nil"/>
              <w:right w:val="nil"/>
            </w:tcBorders>
            <w:shd w:val="clear" w:color="auto" w:fill="auto"/>
            <w:noWrap/>
            <w:vAlign w:val="bottom"/>
          </w:tcPr>
          <w:p>
            <w:pPr>
              <w:rPr>
                <w:rFonts w:ascii="Arial" w:hAnsi="Arial" w:cs="Arial"/>
                <w:sz w:val="20"/>
                <w:szCs w:val="20"/>
              </w:rPr>
            </w:pPr>
          </w:p>
        </w:tc>
        <w:tc>
          <w:tcPr>
            <w:tcW w:w="5580" w:type="dxa"/>
            <w:tcBorders>
              <w:top w:val="nil"/>
              <w:left w:val="nil"/>
              <w:bottom w:val="nil"/>
              <w:right w:val="nil"/>
            </w:tcBorders>
            <w:shd w:val="clear" w:color="auto" w:fill="auto"/>
            <w:noWrap/>
            <w:vAlign w:val="bottom"/>
          </w:tcPr>
          <w:p>
            <w:pPr>
              <w:rPr>
                <w:rFonts w:ascii="Arial" w:hAnsi="Arial" w:cs="Arial"/>
                <w:sz w:val="20"/>
                <w:szCs w:val="20"/>
              </w:rPr>
            </w:pPr>
          </w:p>
        </w:tc>
        <w:tc>
          <w:tcPr>
            <w:tcW w:w="2160" w:type="dxa"/>
            <w:gridSpan w:val="2"/>
            <w:tcBorders>
              <w:top w:val="nil"/>
              <w:left w:val="nil"/>
              <w:bottom w:val="nil"/>
              <w:right w:val="nil"/>
            </w:tcBorders>
            <w:shd w:val="clear" w:color="auto" w:fill="auto"/>
            <w:noWrap/>
            <w:vAlign w:val="bottom"/>
          </w:tcPr>
          <w:p>
            <w:pPr>
              <w:rPr>
                <w:rFonts w:ascii="Arial" w:hAnsi="Arial" w:cs="Arial"/>
                <w:sz w:val="20"/>
                <w:szCs w:val="20"/>
              </w:rPr>
            </w:pPr>
          </w:p>
        </w:tc>
        <w:tc>
          <w:tcPr>
            <w:tcW w:w="6120" w:type="dxa"/>
            <w:gridSpan w:val="4"/>
            <w:tcBorders>
              <w:top w:val="nil"/>
              <w:left w:val="nil"/>
              <w:bottom w:val="nil"/>
              <w:right w:val="nil"/>
            </w:tcBorders>
            <w:shd w:val="clear" w:color="auto" w:fill="auto"/>
            <w:noWrap/>
            <w:vAlign w:val="bottom"/>
          </w:tcPr>
          <w:p>
            <w:pPr>
              <w:rPr>
                <w:rFonts w:ascii="Arial" w:hAnsi="Arial" w:cs="Arial"/>
                <w:sz w:val="20"/>
                <w:szCs w:val="20"/>
              </w:rPr>
            </w:pPr>
          </w:p>
        </w:tc>
      </w:tr>
      <w:tr>
        <w:tblPrEx>
          <w:tblCellMar>
            <w:top w:w="0" w:type="dxa"/>
            <w:left w:w="70" w:type="dxa"/>
            <w:bottom w:w="0" w:type="dxa"/>
            <w:right w:w="70" w:type="dxa"/>
          </w:tblCellMar>
        </w:tblPrEx>
        <w:trPr>
          <w:trHeight w:val="956"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textDirection w:val="tbRl"/>
            <w:vAlign w:val="center"/>
          </w:tcPr>
          <w:p>
            <w:pPr>
              <w:jc w:val="center"/>
              <w:rPr>
                <w:rFonts w:ascii="Arial" w:hAnsi="Arial" w:cs="Arial"/>
                <w:b/>
                <w:bCs/>
                <w:sz w:val="20"/>
                <w:szCs w:val="20"/>
              </w:rPr>
            </w:pPr>
            <w:r>
              <w:rPr>
                <w:rFonts w:ascii="Arial" w:hAnsi="Arial" w:cs="Arial"/>
                <w:b/>
                <w:bCs/>
                <w:sz w:val="20"/>
                <w:szCs w:val="20"/>
              </w:rPr>
              <w:t>Chapitre</w:t>
            </w:r>
          </w:p>
        </w:tc>
        <w:tc>
          <w:tcPr>
            <w:tcW w:w="5880" w:type="dxa"/>
            <w:gridSpan w:val="3"/>
            <w:tcBorders>
              <w:top w:val="single" w:color="auto" w:sz="4" w:space="0"/>
              <w:left w:val="single" w:color="auto" w:sz="4" w:space="0"/>
              <w:right w:val="single" w:color="auto" w:sz="4" w:space="0"/>
            </w:tcBorders>
            <w:shd w:val="clear" w:color="auto" w:fill="auto"/>
            <w:noWrap/>
            <w:vAlign w:val="center"/>
          </w:tcPr>
          <w:p>
            <w:pPr>
              <w:ind w:hanging="426"/>
              <w:jc w:val="center"/>
              <w:rPr>
                <w:rFonts w:ascii="Arial" w:hAnsi="Arial" w:cs="Arial"/>
                <w:b/>
                <w:bCs/>
                <w:sz w:val="20"/>
                <w:szCs w:val="20"/>
              </w:rPr>
            </w:pPr>
            <w:r>
              <w:rPr>
                <w:rFonts w:ascii="Arial" w:hAnsi="Arial" w:cs="Arial"/>
                <w:b/>
                <w:bCs/>
                <w:sz w:val="20"/>
                <w:szCs w:val="20"/>
              </w:rPr>
              <w:t>Intitule des postes de dépenses</w:t>
            </w:r>
          </w:p>
        </w:tc>
        <w:tc>
          <w:tcPr>
            <w:tcW w:w="21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20"/>
                <w:szCs w:val="20"/>
                <w:highlight w:val="none"/>
              </w:rPr>
            </w:pPr>
            <w:r>
              <w:rPr>
                <w:rFonts w:ascii="Arial" w:hAnsi="Arial" w:cs="Arial"/>
                <w:b/>
                <w:bCs/>
                <w:sz w:val="20"/>
                <w:szCs w:val="20"/>
                <w:highlight w:val="none"/>
              </w:rPr>
              <w:t xml:space="preserve">Crédits demandes pour </w:t>
            </w:r>
            <w:r>
              <w:rPr>
                <w:rFonts w:hint="cs" w:ascii="Arial" w:hAnsi="Arial" w:cs="Arial"/>
                <w:b/>
                <w:bCs/>
                <w:sz w:val="20"/>
                <w:szCs w:val="20"/>
                <w:highlight w:val="none"/>
                <w:rtl/>
              </w:rPr>
              <w:t>20</w:t>
            </w:r>
            <w:r>
              <w:rPr>
                <w:rFonts w:ascii="Arial" w:hAnsi="Arial" w:cs="Arial"/>
                <w:b/>
                <w:bCs/>
                <w:sz w:val="20"/>
                <w:szCs w:val="20"/>
                <w:highlight w:val="none"/>
              </w:rPr>
              <w:t>23.(2.500.000.00)</w:t>
            </w:r>
          </w:p>
        </w:tc>
        <w:tc>
          <w:tcPr>
            <w:tcW w:w="1810" w:type="dxa"/>
            <w:tcBorders>
              <w:top w:val="single" w:color="auto" w:sz="4" w:space="0"/>
              <w:left w:val="single" w:color="auto" w:sz="4" w:space="0"/>
              <w:bottom w:val="single" w:color="auto" w:sz="4" w:space="0"/>
              <w:right w:val="single" w:color="auto" w:sz="4" w:space="0"/>
            </w:tcBorders>
            <w:vAlign w:val="center"/>
          </w:tcPr>
          <w:p>
            <w:pPr>
              <w:ind w:right="-70"/>
              <w:jc w:val="center"/>
              <w:rPr>
                <w:rFonts w:ascii="Arial" w:hAnsi="Arial" w:cs="Arial"/>
                <w:sz w:val="20"/>
                <w:szCs w:val="20"/>
                <w:highlight w:val="none"/>
              </w:rPr>
            </w:pPr>
            <w:r>
              <w:rPr>
                <w:rFonts w:ascii="Arial" w:hAnsi="Arial" w:cs="Arial"/>
                <w:b/>
                <w:bCs/>
                <w:sz w:val="20"/>
                <w:szCs w:val="20"/>
                <w:highlight w:val="none"/>
              </w:rPr>
              <w:t>Crédits demandes pour 20..</w:t>
            </w:r>
          </w:p>
        </w:tc>
        <w:tc>
          <w:tcPr>
            <w:tcW w:w="1810" w:type="dxa"/>
            <w:tcBorders>
              <w:top w:val="single" w:color="auto" w:sz="4" w:space="0"/>
              <w:left w:val="single" w:color="auto" w:sz="4" w:space="0"/>
              <w:bottom w:val="single" w:color="auto" w:sz="4" w:space="0"/>
              <w:right w:val="single" w:color="auto" w:sz="4" w:space="0"/>
            </w:tcBorders>
            <w:vAlign w:val="center"/>
          </w:tcPr>
          <w:p>
            <w:pPr>
              <w:bidi/>
              <w:jc w:val="center"/>
              <w:rPr>
                <w:rFonts w:ascii="Arial" w:hAnsi="Arial" w:cs="Arial"/>
                <w:sz w:val="20"/>
                <w:szCs w:val="20"/>
                <w:highlight w:val="none"/>
              </w:rPr>
            </w:pPr>
            <w:r>
              <w:rPr>
                <w:rFonts w:ascii="Arial" w:hAnsi="Arial" w:cs="Arial"/>
                <w:b/>
                <w:bCs/>
                <w:sz w:val="20"/>
                <w:szCs w:val="20"/>
                <w:highlight w:val="none"/>
              </w:rPr>
              <w:t>Crédits demandes pour  20..</w:t>
            </w:r>
          </w:p>
        </w:tc>
        <w:tc>
          <w:tcPr>
            <w:tcW w:w="2888" w:type="dxa"/>
            <w:gridSpan w:val="2"/>
            <w:tcBorders>
              <w:top w:val="single" w:color="auto" w:sz="4" w:space="0"/>
              <w:left w:val="single" w:color="auto" w:sz="4" w:space="0"/>
              <w:bottom w:val="single" w:color="auto" w:sz="4" w:space="0"/>
              <w:right w:val="single" w:color="auto" w:sz="4" w:space="0"/>
            </w:tcBorders>
            <w:vAlign w:val="center"/>
          </w:tcPr>
          <w:p>
            <w:pPr>
              <w:ind w:hanging="426"/>
              <w:jc w:val="center"/>
              <w:rPr>
                <w:rFonts w:ascii="Arial" w:hAnsi="Arial" w:cs="Arial"/>
                <w:b/>
                <w:bCs/>
              </w:rPr>
            </w:pPr>
            <w:r>
              <w:rPr>
                <w:rFonts w:ascii="Arial" w:hAnsi="Arial" w:cs="Arial"/>
                <w:b/>
                <w:bCs/>
              </w:rPr>
              <w:t>TOTAL</w:t>
            </w:r>
          </w:p>
        </w:tc>
      </w:tr>
      <w:tr>
        <w:tblPrEx>
          <w:tblCellMar>
            <w:top w:w="0" w:type="dxa"/>
            <w:left w:w="70" w:type="dxa"/>
            <w:bottom w:w="0" w:type="dxa"/>
            <w:right w:w="70" w:type="dxa"/>
          </w:tblCellMar>
        </w:tblPrEx>
        <w:trPr>
          <w:trHeight w:val="557" w:hRule="atLeast"/>
        </w:trPr>
        <w:tc>
          <w:tcPr>
            <w:tcW w:w="720" w:type="dxa"/>
            <w:vMerge w:val="restart"/>
            <w:tcBorders>
              <w:top w:val="single" w:color="auto" w:sz="4" w:space="0"/>
              <w:left w:val="single" w:color="auto" w:sz="4" w:space="0"/>
              <w:right w:val="single" w:color="auto" w:sz="4" w:space="0"/>
            </w:tcBorders>
            <w:shd w:val="clear" w:color="auto" w:fill="FFFFFF"/>
            <w:noWrap/>
            <w:vAlign w:val="center"/>
          </w:tcPr>
          <w:p>
            <w:pPr>
              <w:jc w:val="center"/>
              <w:rPr>
                <w:rFonts w:ascii="Arial" w:hAnsi="Arial" w:cs="Arial"/>
                <w:b/>
                <w:bCs/>
                <w:sz w:val="18"/>
                <w:szCs w:val="18"/>
              </w:rPr>
            </w:pPr>
            <w:r>
              <w:rPr>
                <w:rFonts w:ascii="Arial" w:hAnsi="Arial" w:cs="Arial"/>
                <w:b/>
                <w:bCs/>
                <w:sz w:val="18"/>
                <w:szCs w:val="18"/>
              </w:rPr>
              <w:t>1</w:t>
            </w:r>
          </w:p>
          <w:p>
            <w:pPr>
              <w:jc w:val="center"/>
              <w:rPr>
                <w:rFonts w:ascii="Arial" w:hAnsi="Arial" w:cs="Arial"/>
                <w:b/>
                <w:bCs/>
                <w:sz w:val="18"/>
                <w:szCs w:val="18"/>
              </w:rPr>
            </w:pPr>
            <w:r>
              <w:rPr>
                <w:rFonts w:ascii="Arial" w:hAnsi="Arial" w:cs="Arial"/>
                <w:b/>
                <w:bCs/>
                <w:sz w:val="18"/>
                <w:szCs w:val="18"/>
              </w:rPr>
              <w:t> </w:t>
            </w:r>
          </w:p>
        </w:tc>
        <w:tc>
          <w:tcPr>
            <w:tcW w:w="14561" w:type="dxa"/>
            <w:gridSpan w:val="9"/>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Arial" w:hAnsi="Arial" w:cs="Arial"/>
                <w:lang w:val="en-GB"/>
              </w:rPr>
            </w:pPr>
            <w:r>
              <w:rPr>
                <w:rFonts w:ascii="Arial" w:hAnsi="Arial" w:cs="Arial"/>
                <w:b/>
                <w:bCs/>
                <w:lang w:val="en-GB"/>
              </w:rPr>
              <w:t>REMBOURSEMEN T    DE    FRAIS</w:t>
            </w:r>
          </w:p>
        </w:tc>
      </w:tr>
      <w:tr>
        <w:tblPrEx>
          <w:tblCellMar>
            <w:top w:w="0" w:type="dxa"/>
            <w:left w:w="70" w:type="dxa"/>
            <w:bottom w:w="0" w:type="dxa"/>
            <w:right w:w="70" w:type="dxa"/>
          </w:tblCellMar>
        </w:tblPrEx>
        <w:trPr>
          <w:trHeight w:val="338" w:hRule="atLeast"/>
        </w:trPr>
        <w:tc>
          <w:tcPr>
            <w:tcW w:w="720" w:type="dxa"/>
            <w:vMerge w:val="continue"/>
            <w:tcBorders>
              <w:left w:val="single" w:color="auto" w:sz="4" w:space="0"/>
              <w:right w:val="single" w:color="auto" w:sz="4" w:space="0"/>
            </w:tcBorders>
            <w:shd w:val="clear" w:color="auto" w:fill="auto"/>
            <w:noWrap/>
            <w:vAlign w:val="center"/>
          </w:tcPr>
          <w:p>
            <w:pPr>
              <w:jc w:val="center"/>
              <w:rPr>
                <w:rFonts w:ascii="Arial" w:hAnsi="Arial" w:cs="Arial"/>
                <w:b/>
                <w:bCs/>
                <w:sz w:val="18"/>
                <w:szCs w:val="18"/>
                <w:lang w:val="en-GB"/>
              </w:rPr>
            </w:pPr>
          </w:p>
        </w:tc>
        <w:tc>
          <w:tcPr>
            <w:tcW w:w="5880" w:type="dxa"/>
            <w:gridSpan w:val="3"/>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rPr>
                <w:rFonts w:ascii="Tahoma" w:hAnsi="Tahoma" w:eastAsia="Times-Roman" w:cs="Tahoma"/>
                <w:sz w:val="20"/>
                <w:szCs w:val="20"/>
              </w:rPr>
            </w:pPr>
            <w:r>
              <w:rPr>
                <w:rFonts w:ascii="Tahoma" w:hAnsi="Tahoma" w:cs="Tahoma"/>
                <w:sz w:val="18"/>
                <w:szCs w:val="18"/>
              </w:rPr>
              <w:t>-</w:t>
            </w:r>
            <w:r>
              <w:rPr>
                <w:rFonts w:ascii="Tahoma" w:hAnsi="Tahoma" w:eastAsia="Times-Roman" w:cs="Tahoma"/>
                <w:sz w:val="20"/>
                <w:szCs w:val="20"/>
              </w:rPr>
              <w:t>Frais de mission et de déplacement en Algérie lies aux</w:t>
            </w:r>
          </w:p>
          <w:p>
            <w:pPr>
              <w:rPr>
                <w:rFonts w:ascii="Tahoma" w:hAnsi="Tahoma" w:cs="Tahoma"/>
                <w:sz w:val="18"/>
                <w:szCs w:val="18"/>
              </w:rPr>
            </w:pPr>
            <w:r>
              <w:rPr>
                <w:rFonts w:ascii="Tahoma" w:hAnsi="Tahoma" w:eastAsia="Times-Roman" w:cs="Tahoma"/>
                <w:sz w:val="20"/>
                <w:szCs w:val="20"/>
              </w:rPr>
              <w:t>activités de développement de la recherche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20"/>
                <w:szCs w:val="20"/>
              </w:rPr>
            </w:pPr>
            <w:r>
              <w:rPr>
                <w:rFonts w:ascii="Arial" w:hAnsi="Arial" w:cs="Arial"/>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Wingdings" w:hAnsi="Wingdings" w:cs="Arial"/>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Wingdings" w:hAnsi="Wingdings" w:cs="Arial"/>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Wingdings" w:hAnsi="Wingdings" w:cs="Arial"/>
                <w:sz w:val="18"/>
                <w:szCs w:val="18"/>
              </w:rPr>
            </w:pPr>
          </w:p>
        </w:tc>
      </w:tr>
      <w:tr>
        <w:tblPrEx>
          <w:tblCellMar>
            <w:top w:w="0" w:type="dxa"/>
            <w:left w:w="70" w:type="dxa"/>
            <w:bottom w:w="0" w:type="dxa"/>
            <w:right w:w="70" w:type="dxa"/>
          </w:tblCellMar>
        </w:tblPrEx>
        <w:trPr>
          <w:trHeight w:val="124"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r>
              <w:rPr>
                <w:rFonts w:ascii="Tahoma" w:hAnsi="Tahoma" w:cs="Tahoma"/>
                <w:sz w:val="18"/>
                <w:szCs w:val="18"/>
              </w:rPr>
              <w:t>-</w:t>
            </w:r>
            <w:r>
              <w:rPr>
                <w:rFonts w:ascii="Tahoma" w:hAnsi="Tahoma" w:eastAsia="Times-Roman" w:cs="Tahoma"/>
                <w:sz w:val="20"/>
                <w:szCs w:val="20"/>
              </w:rPr>
              <w:t>Honoraires des enquêteurs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20"/>
                <w:szCs w:val="20"/>
              </w:rPr>
            </w:pPr>
            <w:r>
              <w:rPr>
                <w:rFonts w:ascii="Arial" w:hAnsi="Arial" w:cs="Arial"/>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24"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r>
              <w:rPr>
                <w:rFonts w:ascii="Tahoma" w:hAnsi="Tahoma" w:cs="Tahoma"/>
                <w:sz w:val="18"/>
                <w:szCs w:val="18"/>
              </w:rPr>
              <w:t>-</w:t>
            </w:r>
            <w:r>
              <w:rPr>
                <w:rFonts w:ascii="Tahoma" w:hAnsi="Tahoma" w:eastAsia="Times-Roman" w:cs="Tahoma"/>
                <w:sz w:val="20"/>
                <w:szCs w:val="20"/>
              </w:rPr>
              <w:t>Honoraires des guides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99"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noWrap/>
            <w:vAlign w:val="center"/>
          </w:tcPr>
          <w:p>
            <w:pPr>
              <w:autoSpaceDE w:val="0"/>
              <w:autoSpaceDN w:val="0"/>
              <w:adjustRightInd w:val="0"/>
              <w:rPr>
                <w:rFonts w:ascii="Tahoma" w:hAnsi="Tahoma" w:eastAsia="Times-Roman" w:cs="Tahoma"/>
                <w:sz w:val="20"/>
                <w:szCs w:val="20"/>
              </w:rPr>
            </w:pPr>
            <w:r>
              <w:rPr>
                <w:rFonts w:ascii="Tahoma" w:hAnsi="Tahoma" w:eastAsia="Times-Roman" w:cs="Tahoma"/>
                <w:sz w:val="20"/>
                <w:szCs w:val="20"/>
              </w:rPr>
              <w:t>-Frais d'études, de travaux et de prestations réalisées</w:t>
            </w:r>
          </w:p>
          <w:p>
            <w:pPr>
              <w:rPr>
                <w:rFonts w:ascii="Tahoma" w:hAnsi="Tahoma" w:cs="Tahoma"/>
                <w:sz w:val="18"/>
                <w:szCs w:val="18"/>
              </w:rPr>
            </w:pPr>
            <w:r>
              <w:rPr>
                <w:rFonts w:ascii="Tahoma" w:hAnsi="Tahoma" w:eastAsia="Times-Roman" w:cs="Tahoma"/>
                <w:sz w:val="20"/>
                <w:szCs w:val="20"/>
              </w:rPr>
              <w:t>pour le compte de l'entité de recherche</w:t>
            </w:r>
            <w:r>
              <w:rPr>
                <w:rFonts w:ascii="Tahoma" w:hAnsi="Tahoma" w:cs="Tahoma"/>
                <w:sz w:val="18"/>
                <w:szCs w:val="18"/>
              </w:rPr>
              <w:t>;</w:t>
            </w: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225" w:hRule="atLeast"/>
        </w:trPr>
        <w:tc>
          <w:tcPr>
            <w:tcW w:w="66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20"/>
                <w:szCs w:val="20"/>
              </w:rPr>
            </w:pPr>
          </w:p>
          <w:p>
            <w:pPr>
              <w:jc w:val="center"/>
              <w:rPr>
                <w:rFonts w:ascii="Arial" w:hAnsi="Arial" w:cs="Arial"/>
                <w:b/>
                <w:bCs/>
                <w:sz w:val="20"/>
                <w:szCs w:val="20"/>
              </w:rPr>
            </w:pPr>
            <w:r>
              <w:rPr>
                <w:rFonts w:ascii="Arial" w:hAnsi="Arial" w:cs="Arial"/>
                <w:b/>
                <w:bCs/>
                <w:sz w:val="20"/>
                <w:szCs w:val="20"/>
              </w:rPr>
              <w:t>S / total</w:t>
            </w:r>
          </w:p>
          <w:p>
            <w:pPr>
              <w:jc w:val="center"/>
              <w:rPr>
                <w:rFonts w:ascii="Arial" w:hAnsi="Arial" w:cs="Arial"/>
                <w:b/>
                <w:bCs/>
                <w:sz w:val="20"/>
                <w:szCs w:val="20"/>
              </w:rPr>
            </w:pP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20"/>
                <w:szCs w:val="20"/>
              </w:rPr>
            </w:pPr>
            <w:r>
              <w:rPr>
                <w:rFonts w:ascii="Arial" w:hAnsi="Arial" w:cs="Arial"/>
                <w:b/>
                <w:bCs/>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ahoma" w:hAnsi="Tahoma" w:cs="Tahoma"/>
                <w:b/>
                <w:bCs/>
                <w:sz w:val="20"/>
                <w:szCs w:val="20"/>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r>
      <w:tr>
        <w:tblPrEx>
          <w:tblCellMar>
            <w:top w:w="0" w:type="dxa"/>
            <w:left w:w="70" w:type="dxa"/>
            <w:bottom w:w="0" w:type="dxa"/>
            <w:right w:w="70" w:type="dxa"/>
          </w:tblCellMar>
        </w:tblPrEx>
        <w:trPr>
          <w:trHeight w:val="166" w:hRule="atLeast"/>
        </w:trPr>
        <w:tc>
          <w:tcPr>
            <w:tcW w:w="720" w:type="dxa"/>
            <w:vMerge w:val="restart"/>
            <w:tcBorders>
              <w:top w:val="single" w:color="auto" w:sz="4" w:space="0"/>
              <w:left w:val="single" w:color="auto" w:sz="4" w:space="0"/>
              <w:right w:val="single" w:color="auto" w:sz="4" w:space="0"/>
            </w:tcBorders>
            <w:shd w:val="clear" w:color="auto" w:fill="FFFFFF"/>
            <w:noWrap/>
            <w:vAlign w:val="center"/>
          </w:tcPr>
          <w:p>
            <w:pPr>
              <w:jc w:val="center"/>
              <w:rPr>
                <w:rFonts w:ascii="Arial" w:hAnsi="Arial" w:cs="Arial"/>
                <w:b/>
                <w:bCs/>
                <w:sz w:val="20"/>
                <w:szCs w:val="20"/>
              </w:rPr>
            </w:pPr>
            <w:r>
              <w:rPr>
                <w:rFonts w:ascii="Arial" w:hAnsi="Arial" w:cs="Arial"/>
                <w:b/>
                <w:bCs/>
                <w:sz w:val="20"/>
                <w:szCs w:val="20"/>
              </w:rPr>
              <w:t>2</w:t>
            </w:r>
          </w:p>
          <w:p>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Arial" w:hAnsi="Arial" w:cs="Arial"/>
                <w:lang w:val="en-GB"/>
              </w:rPr>
            </w:pPr>
            <w:r>
              <w:rPr>
                <w:rFonts w:ascii="Arial" w:hAnsi="Arial" w:eastAsia="Times-Bold" w:cs="Arial"/>
                <w:b/>
                <w:bCs/>
                <w:color w:val="231F20"/>
              </w:rPr>
              <w:t>Fournitures</w:t>
            </w:r>
          </w:p>
        </w:tc>
      </w:tr>
      <w:tr>
        <w:tblPrEx>
          <w:tblCellMar>
            <w:top w:w="0" w:type="dxa"/>
            <w:left w:w="70" w:type="dxa"/>
            <w:bottom w:w="0" w:type="dxa"/>
            <w:right w:w="70" w:type="dxa"/>
          </w:tblCellMar>
        </w:tblPrEx>
        <w:trPr>
          <w:trHeight w:val="230"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cs="Tahoma"/>
                <w:sz w:val="18"/>
                <w:szCs w:val="18"/>
              </w:rPr>
              <w:t>-</w:t>
            </w:r>
            <w:r>
              <w:rPr>
                <w:rFonts w:ascii="Tahoma" w:hAnsi="Tahoma" w:eastAsia="Times-Roman" w:cs="Tahoma"/>
                <w:color w:val="231F20"/>
                <w:sz w:val="20"/>
                <w:szCs w:val="20"/>
              </w:rPr>
              <w:t>Produits chimiques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338"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cs="Tahoma"/>
                <w:sz w:val="18"/>
                <w:szCs w:val="18"/>
              </w:rPr>
              <w:t>-</w:t>
            </w:r>
            <w:r>
              <w:rPr>
                <w:rFonts w:ascii="Tahoma" w:hAnsi="Tahoma" w:eastAsia="Times-Roman" w:cs="Tahoma"/>
                <w:color w:val="231F20"/>
                <w:sz w:val="20"/>
                <w:szCs w:val="20"/>
              </w:rPr>
              <w:t>Produits consommables (y compris consommable</w:t>
            </w:r>
          </w:p>
          <w:p>
            <w:pPr>
              <w:rPr>
                <w:rFonts w:ascii="Tahoma" w:hAnsi="Tahoma" w:cs="Tahoma"/>
                <w:sz w:val="18"/>
                <w:szCs w:val="18"/>
              </w:rPr>
            </w:pPr>
            <w:r>
              <w:rPr>
                <w:rFonts w:ascii="Tahoma" w:hAnsi="Tahoma" w:eastAsia="Times-Roman" w:cs="Tahoma"/>
                <w:color w:val="231F20"/>
                <w:sz w:val="20"/>
                <w:szCs w:val="20"/>
              </w:rPr>
              <w:t>informatique)</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334"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cs="Tahoma"/>
                <w:sz w:val="18"/>
                <w:szCs w:val="18"/>
              </w:rPr>
              <w:t>-</w:t>
            </w:r>
            <w:r>
              <w:rPr>
                <w:rFonts w:ascii="Tahoma" w:hAnsi="Tahoma" w:eastAsia="Times-Roman" w:cs="Tahoma"/>
                <w:color w:val="231F20"/>
                <w:sz w:val="20"/>
                <w:szCs w:val="20"/>
              </w:rPr>
              <w:t>Composants électroniques, mécaniques et</w:t>
            </w:r>
          </w:p>
          <w:p>
            <w:pPr>
              <w:rPr>
                <w:rFonts w:ascii="Tahoma" w:hAnsi="Tahoma" w:cs="Tahoma"/>
                <w:sz w:val="18"/>
                <w:szCs w:val="18"/>
              </w:rPr>
            </w:pPr>
            <w:r>
              <w:rPr>
                <w:rFonts w:ascii="Tahoma" w:hAnsi="Tahoma" w:eastAsia="Times-Roman" w:cs="Tahoma"/>
                <w:color w:val="231F20"/>
                <w:sz w:val="20"/>
                <w:szCs w:val="20"/>
              </w:rPr>
              <w:t>audiovisuels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12"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cs="Tahoma"/>
                <w:sz w:val="18"/>
                <w:szCs w:val="18"/>
              </w:rPr>
              <w:t>-</w:t>
            </w:r>
            <w:r>
              <w:rPr>
                <w:rFonts w:ascii="Tahoma" w:hAnsi="Tahoma" w:eastAsia="Times-Roman" w:cs="Tahoma"/>
                <w:color w:val="231F20"/>
                <w:sz w:val="20"/>
                <w:szCs w:val="20"/>
              </w:rPr>
              <w:t>Papeterie et fournitures de bureau </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56"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eastAsia="Times-Roman" w:cs="Tahoma"/>
                <w:color w:val="231F20"/>
                <w:sz w:val="20"/>
                <w:szCs w:val="20"/>
              </w:rPr>
              <w:t>-Périodiques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99"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eastAsia="Times-Roman" w:cs="Tahoma"/>
                <w:color w:val="231F20"/>
                <w:sz w:val="20"/>
                <w:szCs w:val="20"/>
              </w:rPr>
              <w:t>-Documentation et ouvrages de recherche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99"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-Fournitures des besoins de laboratoires (animaux,</w:t>
            </w:r>
          </w:p>
          <w:p>
            <w:pPr>
              <w:rPr>
                <w:rFonts w:ascii="Tahoma" w:hAnsi="Tahoma" w:cs="Tahoma"/>
                <w:sz w:val="18"/>
                <w:szCs w:val="18"/>
              </w:rPr>
            </w:pPr>
            <w:r>
              <w:rPr>
                <w:rFonts w:ascii="Tahoma" w:hAnsi="Tahoma" w:eastAsia="Times-Roman" w:cs="Tahoma"/>
                <w:color w:val="231F20"/>
                <w:sz w:val="20"/>
                <w:szCs w:val="20"/>
              </w:rPr>
              <w:t>plantes, etc. )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505"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-Matériels, instruments et petits outillages</w:t>
            </w:r>
          </w:p>
          <w:p>
            <w:pPr>
              <w:rPr>
                <w:rFonts w:ascii="Tahoma" w:hAnsi="Tahoma" w:cs="Tahoma"/>
                <w:sz w:val="18"/>
                <w:szCs w:val="18"/>
              </w:rPr>
            </w:pPr>
            <w:r>
              <w:rPr>
                <w:rFonts w:ascii="Tahoma" w:hAnsi="Tahoma" w:eastAsia="Times-Roman" w:cs="Tahoma"/>
                <w:color w:val="231F20"/>
                <w:sz w:val="20"/>
                <w:szCs w:val="20"/>
              </w:rPr>
              <w:t>scientifiques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12" w:hRule="atLeast"/>
        </w:trPr>
        <w:tc>
          <w:tcPr>
            <w:tcW w:w="720" w:type="dxa"/>
            <w:vMerge w:val="continue"/>
            <w:tcBorders>
              <w:left w:val="single" w:color="auto" w:sz="4" w:space="0"/>
              <w:bottom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eastAsia="Times-Roman" w:cs="Tahoma"/>
                <w:color w:val="231F20"/>
                <w:sz w:val="20"/>
                <w:szCs w:val="20"/>
              </w:rPr>
              <w:t>-Approvisionnement en gaz spécifique au laboratoire.</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20" w:hRule="atLeast"/>
        </w:trPr>
        <w:tc>
          <w:tcPr>
            <w:tcW w:w="66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p>
            <w:pPr>
              <w:jc w:val="center"/>
              <w:rPr>
                <w:rFonts w:ascii="Tahoma" w:hAnsi="Tahoma" w:cs="Tahoma"/>
                <w:b/>
                <w:bCs/>
                <w:sz w:val="20"/>
                <w:szCs w:val="20"/>
              </w:rPr>
            </w:pPr>
            <w:r>
              <w:rPr>
                <w:rFonts w:ascii="Tahoma" w:hAnsi="Tahoma" w:cs="Tahoma"/>
                <w:b/>
                <w:bCs/>
                <w:sz w:val="20"/>
                <w:szCs w:val="20"/>
              </w:rPr>
              <w:t>S / total</w:t>
            </w:r>
          </w:p>
          <w:p>
            <w:pPr>
              <w:jc w:val="center"/>
              <w:rPr>
                <w:rFonts w:ascii="Tahoma" w:hAnsi="Tahoma" w:cs="Tahoma"/>
                <w:b/>
                <w:bCs/>
                <w:sz w:val="20"/>
                <w:szCs w:val="20"/>
              </w:rPr>
            </w:pP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r>
              <w:rPr>
                <w:rFonts w:ascii="Tahoma" w:hAnsi="Tahoma" w:cs="Tahoma"/>
                <w:b/>
                <w:bCs/>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ahoma" w:hAnsi="Tahoma" w:cs="Tahoma"/>
                <w:b/>
                <w:bCs/>
                <w:sz w:val="20"/>
                <w:szCs w:val="20"/>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r>
      <w:tr>
        <w:tblPrEx>
          <w:tblCellMar>
            <w:top w:w="0" w:type="dxa"/>
            <w:left w:w="70" w:type="dxa"/>
            <w:bottom w:w="0" w:type="dxa"/>
            <w:right w:w="70" w:type="dxa"/>
          </w:tblCellMar>
        </w:tblPrEx>
        <w:trPr>
          <w:trHeight w:val="146" w:hRule="atLeast"/>
        </w:trPr>
        <w:tc>
          <w:tcPr>
            <w:tcW w:w="720" w:type="dxa"/>
            <w:vMerge w:val="restart"/>
            <w:tcBorders>
              <w:top w:val="single" w:color="auto" w:sz="4" w:space="0"/>
              <w:left w:val="single" w:color="auto" w:sz="4" w:space="0"/>
              <w:right w:val="single" w:color="auto" w:sz="4" w:space="0"/>
            </w:tcBorders>
            <w:shd w:val="clear" w:color="auto" w:fill="FFFFFF"/>
            <w:noWrap/>
            <w:vAlign w:val="center"/>
          </w:tcPr>
          <w:p>
            <w:pPr>
              <w:jc w:val="center"/>
              <w:rPr>
                <w:rFonts w:ascii="Arial" w:hAnsi="Arial" w:cs="Arial"/>
                <w:b/>
                <w:bCs/>
                <w:sz w:val="20"/>
                <w:szCs w:val="20"/>
              </w:rPr>
            </w:pPr>
            <w:r>
              <w:rPr>
                <w:rFonts w:ascii="Arial" w:hAnsi="Arial" w:cs="Arial"/>
                <w:b/>
                <w:bCs/>
                <w:sz w:val="20"/>
                <w:szCs w:val="20"/>
              </w:rPr>
              <w:t>3</w:t>
            </w:r>
          </w:p>
          <w:p>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Arial" w:hAnsi="Arial" w:cs="Arial"/>
                <w:lang w:val="en-GB"/>
              </w:rPr>
            </w:pPr>
            <w:r>
              <w:rPr>
                <w:rFonts w:ascii="Arial" w:hAnsi="Arial" w:eastAsia="Times-Bold" w:cs="Arial"/>
                <w:b/>
                <w:bCs/>
                <w:color w:val="231F20"/>
              </w:rPr>
              <w:t>Charges annexes</w:t>
            </w:r>
          </w:p>
        </w:tc>
      </w:tr>
      <w:tr>
        <w:tblPrEx>
          <w:tblCellMar>
            <w:top w:w="0" w:type="dxa"/>
            <w:left w:w="70" w:type="dxa"/>
            <w:bottom w:w="0" w:type="dxa"/>
            <w:right w:w="70" w:type="dxa"/>
          </w:tblCellMar>
        </w:tblPrEx>
        <w:trPr>
          <w:trHeight w:val="264"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cs="Tahoma"/>
                <w:sz w:val="18"/>
                <w:szCs w:val="18"/>
              </w:rPr>
              <w:t>-</w:t>
            </w:r>
            <w:r>
              <w:rPr>
                <w:rFonts w:ascii="Tahoma" w:hAnsi="Tahoma" w:eastAsia="Times-Roman" w:cs="Tahoma"/>
                <w:color w:val="231F20"/>
                <w:sz w:val="20"/>
                <w:szCs w:val="20"/>
              </w:rPr>
              <w:t>Frais de PTT (fax, internet, messagerie express, frais</w:t>
            </w:r>
          </w:p>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d'installation de réseau téléphonique) et affranchissement</w:t>
            </w:r>
          </w:p>
          <w:p>
            <w:pPr>
              <w:rPr>
                <w:rFonts w:ascii="Tahoma" w:hAnsi="Tahoma" w:cs="Tahoma"/>
                <w:sz w:val="18"/>
                <w:szCs w:val="18"/>
              </w:rPr>
            </w:pPr>
            <w:r>
              <w:rPr>
                <w:rFonts w:ascii="Tahoma" w:hAnsi="Tahoma" w:eastAsia="Times-Roman" w:cs="Tahoma"/>
                <w:color w:val="231F20"/>
                <w:sz w:val="20"/>
                <w:szCs w:val="20"/>
              </w:rPr>
              <w:t>postal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78"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cs="Tahoma"/>
                <w:sz w:val="18"/>
                <w:szCs w:val="18"/>
              </w:rPr>
              <w:t>-</w:t>
            </w:r>
            <w:r>
              <w:rPr>
                <w:rFonts w:ascii="Tahoma" w:hAnsi="Tahoma" w:eastAsia="Times-Roman" w:cs="Tahoma"/>
                <w:color w:val="231F20"/>
                <w:sz w:val="20"/>
                <w:szCs w:val="20"/>
              </w:rPr>
              <w:t>Autres frais (impôt et taxes, droits de douane, frais</w:t>
            </w:r>
          </w:p>
          <w:p>
            <w:pPr>
              <w:rPr>
                <w:rFonts w:ascii="Tahoma" w:hAnsi="Tahoma" w:cs="Tahoma"/>
                <w:sz w:val="18"/>
                <w:szCs w:val="18"/>
              </w:rPr>
            </w:pPr>
            <w:r>
              <w:rPr>
                <w:rFonts w:ascii="Tahoma" w:hAnsi="Tahoma" w:eastAsia="Times-Roman" w:cs="Tahoma"/>
                <w:color w:val="231F20"/>
                <w:sz w:val="20"/>
                <w:szCs w:val="20"/>
              </w:rPr>
              <w:t>financiers, frais de transit et frais d'assurances)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06"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cs="Tahoma"/>
                <w:sz w:val="18"/>
                <w:szCs w:val="18"/>
              </w:rPr>
              <w:t>-</w:t>
            </w:r>
            <w:r>
              <w:rPr>
                <w:rFonts w:ascii="Tahoma" w:hAnsi="Tahoma" w:eastAsia="Times-Roman" w:cs="Tahoma"/>
                <w:color w:val="231F20"/>
                <w:sz w:val="20"/>
                <w:szCs w:val="20"/>
              </w:rPr>
              <w:t>Banque de données (acquisition et abonnement)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06"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cs="Tahoma"/>
                <w:sz w:val="18"/>
                <w:szCs w:val="18"/>
              </w:rPr>
              <w:t>-</w:t>
            </w:r>
            <w:r>
              <w:rPr>
                <w:rFonts w:ascii="Tahoma" w:hAnsi="Tahoma" w:eastAsia="Times-Roman" w:cs="Tahoma"/>
                <w:color w:val="231F20"/>
                <w:sz w:val="20"/>
                <w:szCs w:val="20"/>
              </w:rPr>
              <w:t>Frais de traduction des documents scientifiques</w:t>
            </w:r>
            <w:r>
              <w:rPr>
                <w:rFonts w:ascii="Tahoma" w:hAnsi="Tahoma" w:cs="Tahoma"/>
                <w:sz w:val="18"/>
                <w:szCs w:val="18"/>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12" w:hRule="atLeast"/>
        </w:trPr>
        <w:tc>
          <w:tcPr>
            <w:tcW w:w="720" w:type="dxa"/>
            <w:vMerge w:val="continue"/>
            <w:tcBorders>
              <w:left w:val="single" w:color="auto" w:sz="4" w:space="0"/>
              <w:right w:val="single" w:color="auto" w:sz="4" w:space="0"/>
            </w:tcBorders>
            <w:vAlign w:val="center"/>
          </w:tcPr>
          <w:p>
            <w:pP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r>
              <w:rPr>
                <w:rFonts w:ascii="Tahoma" w:hAnsi="Tahoma" w:cs="Tahoma"/>
                <w:sz w:val="18"/>
                <w:szCs w:val="18"/>
              </w:rPr>
              <w:t>-</w:t>
            </w:r>
            <w:r>
              <w:rPr>
                <w:rFonts w:ascii="Tahoma" w:hAnsi="Tahoma" w:eastAsia="Times-Roman" w:cs="Tahoma"/>
                <w:color w:val="231F20"/>
                <w:sz w:val="20"/>
                <w:szCs w:val="20"/>
              </w:rPr>
              <w:t>Frais de publicité et publications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173" w:hRule="atLeast"/>
        </w:trPr>
        <w:tc>
          <w:tcPr>
            <w:tcW w:w="66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p>
            <w:pPr>
              <w:jc w:val="center"/>
              <w:rPr>
                <w:rFonts w:ascii="Tahoma" w:hAnsi="Tahoma" w:cs="Tahoma"/>
                <w:b/>
                <w:bCs/>
                <w:sz w:val="20"/>
                <w:szCs w:val="20"/>
              </w:rPr>
            </w:pPr>
            <w:r>
              <w:rPr>
                <w:rFonts w:ascii="Tahoma" w:hAnsi="Tahoma" w:cs="Tahoma"/>
                <w:b/>
                <w:bCs/>
                <w:sz w:val="20"/>
                <w:szCs w:val="20"/>
              </w:rPr>
              <w:t>S / total</w:t>
            </w:r>
          </w:p>
          <w:p>
            <w:pPr>
              <w:jc w:val="center"/>
              <w:rPr>
                <w:rFonts w:ascii="Tahoma" w:hAnsi="Tahoma" w:cs="Tahoma"/>
                <w:b/>
                <w:bCs/>
                <w:sz w:val="20"/>
                <w:szCs w:val="20"/>
              </w:rPr>
            </w:pP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r>
              <w:rPr>
                <w:rFonts w:ascii="Tahoma" w:hAnsi="Tahoma" w:cs="Tahoma"/>
                <w:b/>
                <w:bCs/>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ahoma" w:hAnsi="Tahoma" w:cs="Tahoma"/>
                <w:b/>
                <w:bCs/>
                <w:sz w:val="20"/>
                <w:szCs w:val="20"/>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r>
      <w:tr>
        <w:tblPrEx>
          <w:tblCellMar>
            <w:top w:w="0" w:type="dxa"/>
            <w:left w:w="70" w:type="dxa"/>
            <w:bottom w:w="0" w:type="dxa"/>
            <w:right w:w="70" w:type="dxa"/>
          </w:tblCellMar>
        </w:tblPrEx>
        <w:trPr>
          <w:trHeight w:val="352"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rFonts w:ascii="Arial" w:hAnsi="Arial" w:cs="Arial"/>
                <w:b/>
                <w:bCs/>
                <w:sz w:val="20"/>
                <w:szCs w:val="20"/>
              </w:rPr>
            </w:pPr>
            <w:r>
              <w:rPr>
                <w:rFonts w:ascii="Arial" w:hAnsi="Arial" w:cs="Arial"/>
                <w:b/>
                <w:bCs/>
                <w:sz w:val="20"/>
                <w:szCs w:val="20"/>
              </w:rPr>
              <w:t>4</w:t>
            </w:r>
          </w:p>
          <w:p>
            <w:pPr>
              <w:jc w:val="center"/>
              <w:rPr>
                <w:rFonts w:ascii="Arial" w:hAnsi="Arial" w:cs="Arial"/>
                <w:b/>
                <w:bCs/>
                <w:sz w:val="20"/>
                <w:szCs w:val="20"/>
              </w:rPr>
            </w:pPr>
            <w:r>
              <w:rPr>
                <w:rFonts w:ascii="Arial" w:hAnsi="Arial" w:cs="Arial"/>
                <w:b/>
                <w:bCs/>
                <w:sz w:val="20"/>
                <w:szCs w:val="20"/>
              </w:rPr>
              <w:t> </w:t>
            </w:r>
          </w:p>
        </w:tc>
        <w:tc>
          <w:tcPr>
            <w:tcW w:w="14561" w:type="dxa"/>
            <w:gridSpan w:val="9"/>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Arial" w:hAnsi="Arial" w:cs="Arial"/>
                <w:lang w:val="en-GB"/>
              </w:rPr>
            </w:pPr>
            <w:r>
              <w:rPr>
                <w:rFonts w:ascii="Arial" w:hAnsi="Arial" w:eastAsia="Times-Bold" w:cs="Arial"/>
                <w:b/>
                <w:bCs/>
                <w:color w:val="231F20"/>
              </w:rPr>
              <w:t>Parc automobile</w:t>
            </w:r>
          </w:p>
        </w:tc>
      </w:tr>
      <w:tr>
        <w:tblPrEx>
          <w:tblCellMar>
            <w:top w:w="0" w:type="dxa"/>
            <w:left w:w="70" w:type="dxa"/>
            <w:bottom w:w="0" w:type="dxa"/>
            <w:right w:w="70" w:type="dxa"/>
          </w:tblCellMar>
        </w:tblPrEx>
        <w:trPr>
          <w:trHeight w:val="173"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-Location de véhicules et engins pour les travaux de</w:t>
            </w:r>
          </w:p>
          <w:p>
            <w:pPr>
              <w:rPr>
                <w:rFonts w:ascii="Tahoma" w:hAnsi="Tahoma" w:cs="Tahoma"/>
                <w:sz w:val="18"/>
                <w:szCs w:val="18"/>
              </w:rPr>
            </w:pPr>
            <w:r>
              <w:rPr>
                <w:rFonts w:ascii="Tahoma" w:hAnsi="Tahoma" w:eastAsia="Times-Roman" w:cs="Tahoma"/>
                <w:color w:val="231F20"/>
                <w:sz w:val="20"/>
                <w:szCs w:val="20"/>
              </w:rPr>
              <w:t>recherche a réaliser sur terrain.</w:t>
            </w:r>
          </w:p>
        </w:tc>
        <w:tc>
          <w:tcPr>
            <w:tcW w:w="2173" w:type="dxa"/>
            <w:gridSpan w:val="2"/>
            <w:tcBorders>
              <w:top w:val="single" w:color="auto" w:sz="4" w:space="0"/>
              <w:left w:val="nil"/>
              <w:bottom w:val="single" w:color="auto" w:sz="4" w:space="0"/>
              <w:right w:val="nil"/>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ahoma" w:hAnsi="Tahoma" w:cs="Tahoma"/>
                <w:sz w:val="18"/>
                <w:szCs w:val="18"/>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ahoma" w:hAnsi="Tahoma" w:cs="Tahoma"/>
                <w:sz w:val="18"/>
                <w:szCs w:val="18"/>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Tahoma" w:hAnsi="Tahoma" w:cs="Tahoma"/>
                <w:sz w:val="18"/>
                <w:szCs w:val="18"/>
              </w:rPr>
            </w:pPr>
          </w:p>
        </w:tc>
      </w:tr>
      <w:tr>
        <w:tblPrEx>
          <w:tblCellMar>
            <w:top w:w="0" w:type="dxa"/>
            <w:left w:w="70" w:type="dxa"/>
            <w:bottom w:w="0" w:type="dxa"/>
            <w:right w:w="70" w:type="dxa"/>
          </w:tblCellMar>
        </w:tblPrEx>
        <w:trPr>
          <w:trHeight w:val="336" w:hRule="atLeast"/>
        </w:trPr>
        <w:tc>
          <w:tcPr>
            <w:tcW w:w="66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p>
            <w:pPr>
              <w:jc w:val="center"/>
              <w:rPr>
                <w:rFonts w:ascii="Tahoma" w:hAnsi="Tahoma" w:cs="Tahoma"/>
                <w:b/>
                <w:bCs/>
                <w:sz w:val="20"/>
                <w:szCs w:val="20"/>
              </w:rPr>
            </w:pPr>
            <w:r>
              <w:rPr>
                <w:rFonts w:ascii="Tahoma" w:hAnsi="Tahoma" w:cs="Tahoma"/>
                <w:b/>
                <w:bCs/>
                <w:sz w:val="20"/>
                <w:szCs w:val="20"/>
              </w:rPr>
              <w:t>S / total</w:t>
            </w:r>
          </w:p>
          <w:p>
            <w:pPr>
              <w:jc w:val="center"/>
              <w:rPr>
                <w:rFonts w:ascii="Tahoma" w:hAnsi="Tahoma" w:cs="Tahoma"/>
                <w:b/>
                <w:bCs/>
                <w:sz w:val="20"/>
                <w:szCs w:val="20"/>
              </w:rPr>
            </w:pP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r>
              <w:rPr>
                <w:rFonts w:ascii="Tahoma" w:hAnsi="Tahoma" w:cs="Tahoma"/>
                <w:b/>
                <w:bCs/>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ahoma" w:hAnsi="Tahoma" w:cs="Tahoma"/>
                <w:b/>
                <w:bCs/>
                <w:sz w:val="20"/>
                <w:szCs w:val="20"/>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ahoma" w:hAnsi="Tahoma" w:cs="Tahoma"/>
                <w:b/>
                <w:bCs/>
                <w:sz w:val="20"/>
                <w:szCs w:val="20"/>
              </w:rPr>
            </w:pPr>
          </w:p>
        </w:tc>
      </w:tr>
      <w:tr>
        <w:tblPrEx>
          <w:tblCellMar>
            <w:top w:w="0" w:type="dxa"/>
            <w:left w:w="70" w:type="dxa"/>
            <w:bottom w:w="0" w:type="dxa"/>
            <w:right w:w="70" w:type="dxa"/>
          </w:tblCellMar>
        </w:tblPrEx>
        <w:trPr>
          <w:trHeight w:val="444" w:hRule="atLeast"/>
        </w:trPr>
        <w:tc>
          <w:tcPr>
            <w:tcW w:w="720" w:type="dxa"/>
            <w:vMerge w:val="restart"/>
            <w:tcBorders>
              <w:top w:val="single" w:color="auto" w:sz="4" w:space="0"/>
              <w:left w:val="single" w:color="auto" w:sz="4" w:space="0"/>
              <w:right w:val="single" w:color="auto" w:sz="4" w:space="0"/>
            </w:tcBorders>
            <w:shd w:val="clear" w:color="auto" w:fill="FFFFFF"/>
            <w:noWrap/>
            <w:vAlign w:val="center"/>
          </w:tcPr>
          <w:p>
            <w:pPr>
              <w:jc w:val="center"/>
              <w:rPr>
                <w:rFonts w:ascii="Arial" w:hAnsi="Arial" w:cs="Arial"/>
                <w:b/>
                <w:bCs/>
                <w:sz w:val="20"/>
                <w:szCs w:val="20"/>
              </w:rPr>
            </w:pPr>
            <w:r>
              <w:rPr>
                <w:rFonts w:ascii="Arial" w:hAnsi="Arial" w:cs="Arial"/>
                <w:b/>
                <w:bCs/>
                <w:sz w:val="20"/>
                <w:szCs w:val="20"/>
                <w:lang w:val="en-GB"/>
              </w:rPr>
              <w:t> 5</w:t>
            </w:r>
          </w:p>
        </w:tc>
        <w:tc>
          <w:tcPr>
            <w:tcW w:w="14561" w:type="dxa"/>
            <w:gridSpan w:val="9"/>
            <w:tcBorders>
              <w:top w:val="single" w:color="auto" w:sz="4" w:space="0"/>
              <w:left w:val="single" w:color="auto" w:sz="4" w:space="0"/>
              <w:bottom w:val="single" w:color="auto" w:sz="4" w:space="0"/>
              <w:right w:val="single" w:color="auto" w:sz="4" w:space="0"/>
            </w:tcBorders>
            <w:shd w:val="clear" w:color="auto" w:fill="D9D9D9"/>
            <w:vAlign w:val="center"/>
          </w:tcPr>
          <w:p>
            <w:pPr>
              <w:autoSpaceDE w:val="0"/>
              <w:autoSpaceDN w:val="0"/>
              <w:adjustRightInd w:val="0"/>
              <w:jc w:val="center"/>
              <w:rPr>
                <w:rFonts w:ascii="Arial" w:hAnsi="Arial" w:eastAsia="Times-Bold" w:cs="Arial"/>
                <w:b/>
                <w:bCs/>
                <w:color w:val="231F20"/>
              </w:rPr>
            </w:pPr>
            <w:r>
              <w:rPr>
                <w:rFonts w:ascii="Arial" w:hAnsi="Arial" w:eastAsia="Times-Bold" w:cs="Arial"/>
                <w:b/>
                <w:bCs/>
                <w:color w:val="231F20"/>
              </w:rPr>
              <w:t>Frais de valorisation et de développement</w:t>
            </w:r>
          </w:p>
          <w:p>
            <w:pPr>
              <w:jc w:val="center"/>
              <w:rPr>
                <w:rFonts w:ascii="Tahoma" w:hAnsi="Tahoma" w:cs="Tahoma"/>
                <w:b/>
                <w:bCs/>
                <w:lang w:val="en-GB"/>
              </w:rPr>
            </w:pPr>
            <w:r>
              <w:rPr>
                <w:rFonts w:ascii="Arial" w:hAnsi="Arial" w:eastAsia="Times-Bold" w:cs="Arial"/>
                <w:b/>
                <w:bCs/>
                <w:color w:val="231F20"/>
              </w:rPr>
              <w:t>technologique</w:t>
            </w:r>
          </w:p>
        </w:tc>
      </w:tr>
      <w:tr>
        <w:tblPrEx>
          <w:tblCellMar>
            <w:top w:w="0" w:type="dxa"/>
            <w:left w:w="70" w:type="dxa"/>
            <w:bottom w:w="0" w:type="dxa"/>
            <w:right w:w="70" w:type="dxa"/>
          </w:tblCellMar>
        </w:tblPrEx>
        <w:trPr>
          <w:trHeight w:val="132"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cs="Tahoma"/>
                <w:sz w:val="20"/>
                <w:szCs w:val="20"/>
              </w:rPr>
              <w:t>-</w:t>
            </w:r>
            <w:r>
              <w:rPr>
                <w:rFonts w:ascii="Tahoma" w:hAnsi="Tahoma" w:eastAsia="Times-Roman" w:cs="Tahoma"/>
                <w:color w:val="231F20"/>
                <w:sz w:val="20"/>
                <w:szCs w:val="20"/>
              </w:rPr>
              <w:t>Frais d'accompagnement des porteurs de projets de</w:t>
            </w:r>
          </w:p>
          <w:p>
            <w:pPr>
              <w:rPr>
                <w:rFonts w:ascii="Tahoma" w:hAnsi="Tahoma" w:cs="Tahoma"/>
                <w:sz w:val="20"/>
                <w:szCs w:val="20"/>
              </w:rPr>
            </w:pPr>
            <w:r>
              <w:rPr>
                <w:rFonts w:ascii="Tahoma" w:hAnsi="Tahoma" w:eastAsia="Times-Roman" w:cs="Tahoma"/>
                <w:color w:val="231F20"/>
                <w:sz w:val="20"/>
                <w:szCs w:val="20"/>
              </w:rPr>
              <w:t>recherche en Algérie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r>
              <w:rPr>
                <w:rFonts w:ascii="Tahoma" w:hAnsi="Tahoma" w:cs="Tahoma"/>
                <w:sz w:val="20"/>
                <w:szCs w:val="20"/>
              </w:rPr>
              <w:t> </w:t>
            </w: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299"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-Frais de propriété intellectuelle servis au profit des</w:t>
            </w:r>
          </w:p>
          <w:p>
            <w:pPr>
              <w:rPr>
                <w:rFonts w:ascii="Tahoma" w:hAnsi="Tahoma" w:cs="Tahoma"/>
                <w:sz w:val="20"/>
                <w:szCs w:val="20"/>
              </w:rPr>
            </w:pPr>
            <w:r>
              <w:rPr>
                <w:rFonts w:ascii="Tahoma" w:hAnsi="Tahoma" w:eastAsia="Times-Roman" w:cs="Tahoma"/>
                <w:color w:val="231F20"/>
                <w:sz w:val="20"/>
                <w:szCs w:val="20"/>
              </w:rPr>
              <w:t>institutions homologuées en Algérie et à l'étranger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93"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-Frais de conception et de définition du projet a mettre</w:t>
            </w:r>
          </w:p>
          <w:p>
            <w:pPr>
              <w:rPr>
                <w:rFonts w:ascii="Tahoma" w:hAnsi="Tahoma" w:eastAsia="Times-Roman" w:cs="Tahoma"/>
                <w:color w:val="231F20"/>
                <w:sz w:val="20"/>
                <w:szCs w:val="20"/>
              </w:rPr>
            </w:pPr>
            <w:r>
              <w:rPr>
                <w:rFonts w:ascii="Tahoma" w:hAnsi="Tahoma" w:eastAsia="Times-Roman" w:cs="Tahoma"/>
                <w:color w:val="231F20"/>
                <w:sz w:val="20"/>
                <w:szCs w:val="20"/>
              </w:rPr>
              <w:t>en valeur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150"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-Frais d'évaluation et de faisabilité du projet</w:t>
            </w:r>
          </w:p>
          <w:p>
            <w:pPr>
              <w:rPr>
                <w:rFonts w:ascii="Tahoma" w:hAnsi="Tahoma" w:eastAsia="Times-Roman" w:cs="Tahoma"/>
                <w:color w:val="231F20"/>
                <w:sz w:val="20"/>
                <w:szCs w:val="20"/>
              </w:rPr>
            </w:pPr>
            <w:r>
              <w:rPr>
                <w:rFonts w:ascii="Tahoma" w:hAnsi="Tahoma" w:eastAsia="Times-Roman" w:cs="Tahoma"/>
                <w:color w:val="231F20"/>
                <w:sz w:val="20"/>
                <w:szCs w:val="20"/>
              </w:rPr>
              <w:t>valorisable (maturation du projet = plan d'affaire)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168"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-Frais d'expérimentation et de développement des</w:t>
            </w:r>
          </w:p>
          <w:p>
            <w:pPr>
              <w:rPr>
                <w:rFonts w:ascii="Tahoma" w:hAnsi="Tahoma" w:eastAsia="Times-Roman" w:cs="Tahoma"/>
                <w:color w:val="231F20"/>
                <w:sz w:val="20"/>
                <w:szCs w:val="20"/>
              </w:rPr>
            </w:pPr>
            <w:r>
              <w:rPr>
                <w:rFonts w:ascii="Tahoma" w:hAnsi="Tahoma" w:eastAsia="Times-Roman" w:cs="Tahoma"/>
                <w:color w:val="231F20"/>
                <w:sz w:val="20"/>
                <w:szCs w:val="20"/>
              </w:rPr>
              <w:t>produits a mettre en valeur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131"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eastAsia="Times-Roman" w:cs="Tahoma"/>
                <w:color w:val="231F20"/>
                <w:sz w:val="20"/>
                <w:szCs w:val="20"/>
              </w:rPr>
            </w:pPr>
            <w:r>
              <w:rPr>
                <w:rFonts w:ascii="Tahoma" w:hAnsi="Tahoma" w:eastAsia="Times-Roman" w:cs="Tahoma"/>
                <w:color w:val="231F20"/>
                <w:sz w:val="20"/>
                <w:szCs w:val="20"/>
              </w:rPr>
              <w:t>-Frais d'incubation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150" w:hRule="atLeast"/>
        </w:trPr>
        <w:tc>
          <w:tcPr>
            <w:tcW w:w="720" w:type="dxa"/>
            <w:vMerge w:val="continue"/>
            <w:tcBorders>
              <w:left w:val="single" w:color="auto" w:sz="4" w:space="0"/>
              <w:right w:val="single" w:color="auto" w:sz="4" w:space="0"/>
            </w:tcBorders>
            <w:shd w:val="clear" w:color="auto" w:fill="auto"/>
            <w:noWrap/>
            <w:vAlign w:val="bottom"/>
          </w:tcPr>
          <w:p>
            <w:pPr>
              <w:jc w:val="center"/>
              <w:rPr>
                <w:rFonts w:ascii="Arial" w:hAnsi="Arial" w:cs="Arial"/>
                <w:b/>
                <w:bCs/>
                <w:sz w:val="20"/>
                <w:szCs w:val="20"/>
                <w:lang w:val="en-GB"/>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rPr>
                <w:rFonts w:ascii="Tahoma" w:hAnsi="Tahoma" w:eastAsia="Times-Roman" w:cs="Tahoma"/>
                <w:color w:val="231F20"/>
                <w:sz w:val="20"/>
                <w:szCs w:val="20"/>
              </w:rPr>
            </w:pPr>
            <w:r>
              <w:rPr>
                <w:rFonts w:ascii="Tahoma" w:hAnsi="Tahoma" w:eastAsia="Times-Roman" w:cs="Tahoma"/>
                <w:color w:val="231F20"/>
                <w:sz w:val="20"/>
                <w:szCs w:val="20"/>
              </w:rPr>
              <w:t>-Frais de service a l'innovation ;</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150" w:hRule="atLeast"/>
        </w:trPr>
        <w:tc>
          <w:tcPr>
            <w:tcW w:w="720" w:type="dxa"/>
            <w:vMerge w:val="continue"/>
            <w:tcBorders>
              <w:left w:val="single" w:color="auto" w:sz="4" w:space="0"/>
              <w:bottom w:val="single" w:color="auto" w:sz="4" w:space="0"/>
              <w:right w:val="single" w:color="auto" w:sz="4" w:space="0"/>
            </w:tcBorders>
            <w:shd w:val="clear" w:color="auto" w:fill="auto"/>
            <w:noWrap/>
            <w:vAlign w:val="bottom"/>
          </w:tcPr>
          <w:p>
            <w:pPr>
              <w:jc w:val="center"/>
              <w:rPr>
                <w:rFonts w:ascii="Arial" w:hAnsi="Arial" w:cs="Arial"/>
                <w:b/>
                <w:bCs/>
                <w:sz w:val="20"/>
                <w:szCs w:val="20"/>
              </w:rPr>
            </w:pPr>
          </w:p>
        </w:tc>
        <w:tc>
          <w:tcPr>
            <w:tcW w:w="5880" w:type="dxa"/>
            <w:gridSpan w:val="3"/>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rPr>
                <w:rFonts w:ascii="Tahoma" w:hAnsi="Tahoma" w:eastAsia="Times-Roman" w:cs="Tahoma"/>
                <w:color w:val="231F20"/>
                <w:sz w:val="20"/>
                <w:szCs w:val="20"/>
              </w:rPr>
            </w:pPr>
            <w:r>
              <w:rPr>
                <w:rFonts w:ascii="Tahoma" w:hAnsi="Tahoma" w:eastAsia="Times-Roman" w:cs="Tahoma"/>
                <w:color w:val="231F20"/>
                <w:sz w:val="20"/>
                <w:szCs w:val="20"/>
              </w:rPr>
              <w:t>-Frais de conception et de réalisation de prototypes ;</w:t>
            </w:r>
          </w:p>
          <w:p>
            <w:pPr>
              <w:rPr>
                <w:rFonts w:ascii="Tahoma" w:hAnsi="Tahoma" w:eastAsia="Times-Roman" w:cs="Tahoma"/>
                <w:color w:val="231F20"/>
                <w:sz w:val="20"/>
                <w:szCs w:val="20"/>
              </w:rPr>
            </w:pPr>
            <w:r>
              <w:rPr>
                <w:rFonts w:ascii="Tahoma" w:hAnsi="Tahoma" w:eastAsia="Times-Roman" w:cs="Tahoma"/>
                <w:color w:val="231F20"/>
                <w:sz w:val="20"/>
                <w:szCs w:val="20"/>
              </w:rPr>
              <w:t>maquettes, préséries, installations pilotes et démonstrations.</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330" w:hRule="atLeast"/>
        </w:trPr>
        <w:tc>
          <w:tcPr>
            <w:tcW w:w="6600" w:type="dxa"/>
            <w:gridSpan w:val="4"/>
            <w:tcBorders>
              <w:left w:val="single" w:color="auto" w:sz="4" w:space="0"/>
              <w:bottom w:val="single" w:color="auto" w:sz="4" w:space="0"/>
              <w:right w:val="single" w:color="auto" w:sz="4" w:space="0"/>
            </w:tcBorders>
            <w:shd w:val="clear" w:color="auto" w:fill="auto"/>
            <w:noWrap/>
            <w:vAlign w:val="center"/>
          </w:tcPr>
          <w:p>
            <w:pPr>
              <w:jc w:val="center"/>
              <w:rPr>
                <w:rFonts w:ascii="Tahoma" w:hAnsi="Tahoma" w:cs="Tahoma"/>
                <w:b/>
                <w:bCs/>
                <w:sz w:val="20"/>
                <w:szCs w:val="20"/>
              </w:rPr>
            </w:pPr>
          </w:p>
          <w:p>
            <w:pPr>
              <w:jc w:val="center"/>
              <w:rPr>
                <w:rFonts w:ascii="Tahoma" w:hAnsi="Tahoma" w:cs="Tahoma"/>
                <w:b/>
                <w:bCs/>
                <w:sz w:val="20"/>
                <w:szCs w:val="20"/>
              </w:rPr>
            </w:pPr>
            <w:r>
              <w:rPr>
                <w:rFonts w:ascii="Tahoma" w:hAnsi="Tahoma" w:cs="Tahoma"/>
                <w:b/>
                <w:bCs/>
                <w:sz w:val="20"/>
                <w:szCs w:val="20"/>
              </w:rPr>
              <w:t>S / total</w:t>
            </w:r>
          </w:p>
          <w:p>
            <w:pPr>
              <w:jc w:val="center"/>
              <w:rPr>
                <w:rFonts w:ascii="Wingdings" w:hAnsi="Wingdings" w:cs="Arial"/>
                <w:sz w:val="18"/>
                <w:szCs w:val="18"/>
              </w:rPr>
            </w:pP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sz w:val="20"/>
                <w:szCs w:val="20"/>
              </w:rPr>
            </w:pPr>
          </w:p>
        </w:tc>
        <w:tc>
          <w:tcPr>
            <w:tcW w:w="1810" w:type="dxa"/>
            <w:tcBorders>
              <w:top w:val="single" w:color="auto" w:sz="4" w:space="0"/>
              <w:left w:val="nil"/>
              <w:bottom w:val="single" w:color="auto" w:sz="4" w:space="0"/>
              <w:right w:val="single" w:color="auto" w:sz="4" w:space="0"/>
            </w:tcBorders>
            <w:shd w:val="clear" w:color="auto" w:fill="auto"/>
            <w:noWrap/>
            <w:vAlign w:val="center"/>
          </w:tcPr>
          <w:p>
            <w:pPr>
              <w:rPr>
                <w:rFonts w:ascii="Tahoma" w:hAnsi="Tahoma" w:cs="Tahoma"/>
                <w:sz w:val="20"/>
                <w:szCs w:val="20"/>
              </w:rPr>
            </w:pPr>
          </w:p>
        </w:tc>
        <w:tc>
          <w:tcPr>
            <w:tcW w:w="1810" w:type="dxa"/>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c>
          <w:tcPr>
            <w:tcW w:w="2888" w:type="dxa"/>
            <w:gridSpan w:val="2"/>
            <w:tcBorders>
              <w:top w:val="single" w:color="auto" w:sz="4" w:space="0"/>
              <w:left w:val="nil"/>
              <w:bottom w:val="single" w:color="auto" w:sz="4" w:space="0"/>
              <w:right w:val="single" w:color="auto" w:sz="4" w:space="0"/>
            </w:tcBorders>
            <w:shd w:val="clear" w:color="auto" w:fill="auto"/>
            <w:vAlign w:val="center"/>
          </w:tcPr>
          <w:p>
            <w:pPr>
              <w:rPr>
                <w:rFonts w:ascii="Tahoma" w:hAnsi="Tahoma" w:cs="Tahoma"/>
                <w:sz w:val="20"/>
                <w:szCs w:val="20"/>
              </w:rPr>
            </w:pPr>
          </w:p>
        </w:tc>
      </w:tr>
      <w:tr>
        <w:tblPrEx>
          <w:tblCellMar>
            <w:top w:w="0" w:type="dxa"/>
            <w:left w:w="70" w:type="dxa"/>
            <w:bottom w:w="0" w:type="dxa"/>
            <w:right w:w="70" w:type="dxa"/>
          </w:tblCellMar>
        </w:tblPrEx>
        <w:trPr>
          <w:trHeight w:val="420" w:hRule="atLeast"/>
        </w:trPr>
        <w:tc>
          <w:tcPr>
            <w:tcW w:w="66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20"/>
                <w:szCs w:val="20"/>
              </w:rPr>
            </w:pPr>
            <w:r>
              <w:rPr>
                <w:rFonts w:ascii="Arial" w:hAnsi="Arial" w:cs="Arial"/>
                <w:b/>
                <w:bCs/>
                <w:sz w:val="20"/>
                <w:szCs w:val="20"/>
              </w:rPr>
              <w:t>TOTAL FONCTIONNEMENT</w:t>
            </w:r>
          </w:p>
        </w:tc>
        <w:tc>
          <w:tcPr>
            <w:tcW w:w="21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20"/>
                <w:szCs w:val="20"/>
              </w:rPr>
            </w:pPr>
            <w:r>
              <w:rPr>
                <w:rFonts w:ascii="Arial" w:hAnsi="Arial" w:cs="Arial"/>
                <w:b/>
                <w:bCs/>
                <w:sz w:val="20"/>
                <w:szCs w:val="20"/>
              </w:rPr>
              <w:t> </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ahoma" w:hAnsi="Tahoma" w:cs="Tahoma"/>
                <w:sz w:val="20"/>
                <w:szCs w:val="20"/>
              </w:rPr>
            </w:pPr>
          </w:p>
        </w:tc>
        <w:tc>
          <w:tcPr>
            <w:tcW w:w="1810"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ascii="Tahoma" w:hAnsi="Tahoma" w:cs="Tahoma"/>
                <w:sz w:val="20"/>
                <w:szCs w:val="20"/>
              </w:rPr>
            </w:pPr>
          </w:p>
        </w:tc>
        <w:tc>
          <w:tcPr>
            <w:tcW w:w="2888"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ascii="Tahoma" w:hAnsi="Tahoma" w:cs="Tahoma"/>
                <w:sz w:val="20"/>
                <w:szCs w:val="20"/>
              </w:rPr>
            </w:pPr>
            <w:r>
              <w:rPr>
                <w:rFonts w:ascii="Tahoma" w:hAnsi="Tahoma" w:cs="Tahoma"/>
                <w:b/>
                <w:bCs/>
                <w:sz w:val="20"/>
                <w:szCs w:val="20"/>
                <w:highlight w:val="none"/>
              </w:rPr>
              <w:t>2.500.000.00</w:t>
            </w:r>
          </w:p>
        </w:tc>
      </w:tr>
    </w:tbl>
    <w:p>
      <w:pPr>
        <w:rPr>
          <w:rFonts w:ascii="Garamond" w:hAnsi="Garamond"/>
          <w:sz w:val="28"/>
          <w:szCs w:val="28"/>
        </w:rPr>
      </w:pPr>
    </w:p>
    <w:sectPr>
      <w:footerReference r:id="rId11" w:type="default"/>
      <w:pgSz w:w="16838" w:h="11906" w:orient="landscape"/>
      <w:pgMar w:top="1418" w:right="1418" w:bottom="1418"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Coronet">
    <w:altName w:val="Tahoma"/>
    <w:panose1 w:val="00000000000000000000"/>
    <w:charset w:val="00"/>
    <w:family w:val="script"/>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Bookman Old Style">
    <w:panose1 w:val="02050604050505020204"/>
    <w:charset w:val="00"/>
    <w:family w:val="roman"/>
    <w:pitch w:val="default"/>
    <w:sig w:usb0="00000287" w:usb1="00000000" w:usb2="00000000" w:usb3="00000000" w:csb0="2000009F" w:csb1="DFD70000"/>
  </w:font>
  <w:font w:name="Times-Roman">
    <w:altName w:val="Times New Roman"/>
    <w:panose1 w:val="00000000000000000000"/>
    <w:charset w:val="00"/>
    <w:family w:val="roman"/>
    <w:pitch w:val="default"/>
    <w:sig w:usb0="00000000" w:usb1="00000000" w:usb2="00000000" w:usb3="00000000" w:csb0="00000001" w:csb1="00000000"/>
  </w:font>
  <w:font w:name="Times-Bold">
    <w:altName w:val="MS Mincho"/>
    <w:panose1 w:val="00000000000000000000"/>
    <w:charset w:val="80"/>
    <w:family w:val="auto"/>
    <w:pitch w:val="default"/>
    <w:sig w:usb0="00000000" w:usb1="00000000" w:usb2="00000010" w:usb3="00000000" w:csb0="00020000"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5000" w:type="pct"/>
      <w:tblInd w:w="0" w:type="dxa"/>
      <w:tblLayout w:type="autofit"/>
      <w:tblCellMar>
        <w:top w:w="72" w:type="dxa"/>
        <w:left w:w="115" w:type="dxa"/>
        <w:bottom w:w="72" w:type="dxa"/>
        <w:right w:w="115" w:type="dxa"/>
      </w:tblCellMar>
    </w:tblPr>
    <w:tblGrid>
      <w:gridCol w:w="8370"/>
      <w:gridCol w:w="930"/>
    </w:tblGrid>
    <w:tr>
      <w:tblPrEx>
        <w:tblCellMar>
          <w:top w:w="72" w:type="dxa"/>
          <w:left w:w="115" w:type="dxa"/>
          <w:bottom w:w="72" w:type="dxa"/>
          <w:right w:w="115" w:type="dxa"/>
        </w:tblCellMar>
      </w:tblPrEx>
      <w:tc>
        <w:tcPr>
          <w:tcW w:w="4500" w:type="pct"/>
          <w:tcBorders>
            <w:top w:val="single" w:color="000000" w:themeColor="text1" w:sz="4" w:space="0"/>
          </w:tcBorders>
        </w:tcPr>
        <w:p>
          <w:pPr>
            <w:pStyle w:val="12"/>
            <w:jc w:val="right"/>
          </w:pPr>
          <w:r>
            <w:t>Programme national de recherche sur la sécurité énergétique</w:t>
          </w:r>
        </w:p>
      </w:tc>
      <w:tc>
        <w:tcPr>
          <w:tcW w:w="500" w:type="pct"/>
          <w:tcBorders>
            <w:top w:val="single" w:color="C0504D" w:themeColor="accent2" w:sz="4" w:space="0"/>
          </w:tcBorders>
          <w:shd w:val="clear" w:color="auto" w:fill="008037"/>
        </w:tcPr>
        <w:p>
          <w:pPr>
            <w:pStyle w:val="13"/>
          </w:pPr>
          <w:r>
            <w:fldChar w:fldCharType="begin"/>
          </w:r>
          <w:r>
            <w:instrText xml:space="preserve">PAGE   \* MERGEFORMAT</w:instrText>
          </w:r>
          <w:r>
            <w:fldChar w:fldCharType="separate"/>
          </w:r>
          <w:r>
            <w:rPr>
              <w:color w:val="FFFFFF" w:themeColor="background1"/>
              <w14:textFill>
                <w14:solidFill>
                  <w14:schemeClr w14:val="bg1"/>
                </w14:solidFill>
              </w14:textFill>
            </w:rPr>
            <w:t>37</w:t>
          </w:r>
          <w:r>
            <w:rPr>
              <w:color w:val="FFFFFF" w:themeColor="background1"/>
              <w14:textFill>
                <w14:solidFill>
                  <w14:schemeClr w14:val="bg1"/>
                </w14:solidFill>
              </w14:textFill>
            </w:rPr>
            <w:fldChar w:fldCharType="end"/>
          </w:r>
        </w:p>
      </w:tc>
    </w:tr>
  </w:tbl>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5000" w:type="pct"/>
      <w:tblInd w:w="0" w:type="dxa"/>
      <w:tblLayout w:type="autofit"/>
      <w:tblCellMar>
        <w:top w:w="72" w:type="dxa"/>
        <w:left w:w="115" w:type="dxa"/>
        <w:bottom w:w="72" w:type="dxa"/>
        <w:right w:w="115" w:type="dxa"/>
      </w:tblCellMar>
    </w:tblPr>
    <w:tblGrid>
      <w:gridCol w:w="12809"/>
      <w:gridCol w:w="1423"/>
    </w:tblGrid>
    <w:tr>
      <w:tblPrEx>
        <w:tblCellMar>
          <w:top w:w="72" w:type="dxa"/>
          <w:left w:w="115" w:type="dxa"/>
          <w:bottom w:w="72" w:type="dxa"/>
          <w:right w:w="115" w:type="dxa"/>
        </w:tblCellMar>
      </w:tblPrEx>
      <w:tc>
        <w:tcPr>
          <w:tcW w:w="4500" w:type="pct"/>
          <w:tcBorders>
            <w:top w:val="single" w:color="000000" w:themeColor="text1" w:sz="4" w:space="0"/>
          </w:tcBorders>
        </w:tcPr>
        <w:p>
          <w:pPr>
            <w:pStyle w:val="12"/>
            <w:jc w:val="right"/>
          </w:pPr>
          <w:sdt>
            <w:sdtPr>
              <w:alias w:val="Société"/>
              <w:id w:val="75971759"/>
              <w15:dataBinding w:prefixMappings="xmlns:ns0='http://schemas.openxmlformats.org/officeDocument/2006/extended-properties'" w:xpath="/ns0:Properties[1]/ns0:Company[1]" w:storeItemID="{6668398D-A668-4E3E-A5EB-62B293D839F1}"/>
              <w:text/>
            </w:sdtPr>
            <w:sdtContent>
              <w:r>
                <w:t>Programme national de recherche sur la sécurité énergétique</w:t>
              </w:r>
            </w:sdtContent>
          </w:sdt>
        </w:p>
      </w:tc>
      <w:tc>
        <w:tcPr>
          <w:tcW w:w="500" w:type="pct"/>
          <w:tcBorders>
            <w:top w:val="single" w:color="C0504D" w:themeColor="accent2" w:sz="4" w:space="0"/>
          </w:tcBorders>
          <w:shd w:val="clear" w:color="auto" w:fill="008037"/>
        </w:tcPr>
        <w:p>
          <w:pPr>
            <w:pStyle w:val="13"/>
            <w:rPr>
              <w:color w:val="FFFFFF" w:themeColor="background1"/>
              <w14:textFill>
                <w14:solidFill>
                  <w14:schemeClr w14:val="bg1"/>
                </w14:solidFill>
              </w14:textFill>
            </w:rPr>
          </w:pPr>
          <w:r>
            <w:fldChar w:fldCharType="begin"/>
          </w:r>
          <w:r>
            <w:instrText xml:space="preserve">PAGE   \* MERGEFORMAT</w:instrText>
          </w:r>
          <w:r>
            <w:fldChar w:fldCharType="separate"/>
          </w:r>
          <w:r>
            <w:rPr>
              <w:color w:val="FFFFFF" w:themeColor="background1"/>
              <w14:textFill>
                <w14:solidFill>
                  <w14:schemeClr w14:val="bg1"/>
                </w14:solidFill>
              </w14:textFill>
            </w:rPr>
            <w:t>40</w:t>
          </w:r>
          <w:r>
            <w:rPr>
              <w:color w:val="FFFFFF" w:themeColor="background1"/>
              <w14:textFill>
                <w14:solidFill>
                  <w14:schemeClr w14:val="bg1"/>
                </w14:solidFill>
              </w14:textFill>
            </w:rPr>
            <w:fldChar w:fldCharType="end"/>
          </w:r>
        </w:p>
      </w:tc>
    </w:tr>
  </w:tbl>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pStyle w:val="9"/>
      </w:pPr>
      <w:r>
        <w:rPr>
          <w:rStyle w:val="8"/>
        </w:rPr>
        <w:footnoteRef/>
      </w:r>
      <w:r>
        <w:t xml:space="preserve"> Dans le cas où il y aurait plusieurs partenaires socioéconomiques, chaque établissement devra compléter une attestation.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tl/>
        <w:lang w:bidi="ar-DZ"/>
      </w:rPr>
    </w:pPr>
  </w:p>
  <w:p>
    <w:pPr>
      <w:pStyle w:val="13"/>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078D583C"/>
    <w:multiLevelType w:val="multilevel"/>
    <w:tmpl w:val="078D583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2891C84"/>
    <w:multiLevelType w:val="multilevel"/>
    <w:tmpl w:val="22891C8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8E63CF3"/>
    <w:multiLevelType w:val="multilevel"/>
    <w:tmpl w:val="28E63CF3"/>
    <w:lvl w:ilvl="0" w:tentative="0">
      <w:start w:val="0"/>
      <w:numFmt w:val="bullet"/>
      <w:lvlText w:val="-"/>
      <w:lvlJc w:val="left"/>
      <w:pPr>
        <w:ind w:left="720" w:hanging="360"/>
      </w:pPr>
      <w:rPr>
        <w:rFonts w:hint="default" w:ascii="Calibri" w:hAnsi="Calibri" w:eastAsiaTheme="minorHAnsi" w:cstheme="minorBidi"/>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9D476FD"/>
    <w:multiLevelType w:val="multilevel"/>
    <w:tmpl w:val="29D476FD"/>
    <w:lvl w:ilvl="0" w:tentative="0">
      <w:start w:val="2"/>
      <w:numFmt w:val="bullet"/>
      <w:lvlText w:val="-"/>
      <w:lvlJc w:val="left"/>
      <w:pPr>
        <w:ind w:left="1080" w:hanging="360"/>
      </w:pPr>
      <w:rPr>
        <w:rFonts w:hint="default" w:ascii="Calibri" w:hAnsi="Calibri" w:eastAsia="Calibri" w:cs="Arial"/>
        <w: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2A8612BA"/>
    <w:multiLevelType w:val="multilevel"/>
    <w:tmpl w:val="2A8612BA"/>
    <w:lvl w:ilvl="0" w:tentative="0">
      <w:start w:val="2"/>
      <w:numFmt w:val="decimal"/>
      <w:lvlText w:val="%1."/>
      <w:lvlJc w:val="left"/>
      <w:pPr>
        <w:ind w:left="720" w:hanging="360"/>
      </w:pPr>
      <w:rPr>
        <w:rFonts w:hint="default"/>
        <w:color w:val="008037"/>
      </w:rPr>
    </w:lvl>
    <w:lvl w:ilvl="1" w:tentative="0">
      <w:start w:val="1"/>
      <w:numFmt w:val="lowerLetter"/>
      <w:lvlText w:val="%2."/>
      <w:lvlJc w:val="left"/>
      <w:pPr>
        <w:ind w:left="1440" w:hanging="360"/>
      </w:pPr>
      <w:rPr>
        <w:b/>
        <w:bCs/>
        <w:color w:val="008037"/>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C72577B"/>
    <w:multiLevelType w:val="multilevel"/>
    <w:tmpl w:val="2C72577B"/>
    <w:lvl w:ilvl="0" w:tentative="0">
      <w:start w:val="2"/>
      <w:numFmt w:val="bullet"/>
      <w:lvlText w:val="-"/>
      <w:lvlJc w:val="left"/>
      <w:pPr>
        <w:ind w:left="1080" w:hanging="360"/>
      </w:pPr>
      <w:rPr>
        <w:rFonts w:hint="default" w:ascii="Calibri" w:hAnsi="Calibri" w:eastAsia="Calibri" w:cs="Arial"/>
        <w: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
    <w:nsid w:val="2E5944B1"/>
    <w:multiLevelType w:val="multilevel"/>
    <w:tmpl w:val="2E5944B1"/>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4805CF8"/>
    <w:multiLevelType w:val="multilevel"/>
    <w:tmpl w:val="34805CF8"/>
    <w:lvl w:ilvl="0" w:tentative="0">
      <w:start w:val="2"/>
      <w:numFmt w:val="bullet"/>
      <w:lvlText w:val="-"/>
      <w:lvlJc w:val="left"/>
      <w:pPr>
        <w:ind w:left="1080" w:hanging="360"/>
      </w:pPr>
      <w:rPr>
        <w:rFonts w:hint="default" w:ascii="Calibri" w:hAnsi="Calibri" w:eastAsia="Calibri" w:cs="Aria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
    <w:nsid w:val="42784A2E"/>
    <w:multiLevelType w:val="multilevel"/>
    <w:tmpl w:val="42784A2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5C31579"/>
    <w:multiLevelType w:val="multilevel"/>
    <w:tmpl w:val="45C31579"/>
    <w:lvl w:ilvl="0" w:tentative="0">
      <w:start w:val="11"/>
      <w:numFmt w:val="bullet"/>
      <w:lvlText w:val="-"/>
      <w:lvlJc w:val="left"/>
      <w:pPr>
        <w:ind w:left="720" w:hanging="360"/>
      </w:pPr>
      <w:rPr>
        <w:rFonts w:hint="default" w:ascii="Calibri" w:hAnsi="Calibri" w:eastAsia="Calibri"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3702D85"/>
    <w:multiLevelType w:val="multilevel"/>
    <w:tmpl w:val="53702D85"/>
    <w:lvl w:ilvl="0" w:tentative="0">
      <w:start w:val="0"/>
      <w:numFmt w:val="bullet"/>
      <w:lvlText w:val="-"/>
      <w:lvlJc w:val="left"/>
      <w:pPr>
        <w:ind w:left="720" w:hanging="360"/>
      </w:pPr>
      <w:rPr>
        <w:rFonts w:hint="default" w:ascii="Cambria" w:hAnsi="Cambria"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57F21F5C"/>
    <w:multiLevelType w:val="multilevel"/>
    <w:tmpl w:val="57F21F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8"/>
  </w:num>
  <w:num w:numId="3">
    <w:abstractNumId w:val="3"/>
  </w:num>
  <w:num w:numId="4">
    <w:abstractNumId w:val="5"/>
  </w:num>
  <w:num w:numId="5">
    <w:abstractNumId w:val="7"/>
  </w:num>
  <w:num w:numId="6">
    <w:abstractNumId w:val="10"/>
  </w:num>
  <w:num w:numId="7">
    <w:abstractNumId w:val="4"/>
  </w:num>
  <w:num w:numId="8">
    <w:abstractNumId w:val="2"/>
  </w:num>
  <w:num w:numId="9">
    <w:abstractNumId w:val="0"/>
  </w:num>
  <w:num w:numId="10">
    <w:abstractNumId w:val="1"/>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2"/>
    <w:footnote w:id="3"/>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6A8"/>
    <w:rsid w:val="0000117C"/>
    <w:rsid w:val="00013BDF"/>
    <w:rsid w:val="00015D61"/>
    <w:rsid w:val="00016248"/>
    <w:rsid w:val="00026C5C"/>
    <w:rsid w:val="000334ED"/>
    <w:rsid w:val="000445A6"/>
    <w:rsid w:val="00045165"/>
    <w:rsid w:val="00065805"/>
    <w:rsid w:val="00066204"/>
    <w:rsid w:val="0006765B"/>
    <w:rsid w:val="000716B7"/>
    <w:rsid w:val="00093953"/>
    <w:rsid w:val="00094D08"/>
    <w:rsid w:val="000A5BEA"/>
    <w:rsid w:val="000B708C"/>
    <w:rsid w:val="000D3ADA"/>
    <w:rsid w:val="000E40F7"/>
    <w:rsid w:val="00110D8C"/>
    <w:rsid w:val="00121291"/>
    <w:rsid w:val="00126280"/>
    <w:rsid w:val="00147397"/>
    <w:rsid w:val="00155330"/>
    <w:rsid w:val="0016663D"/>
    <w:rsid w:val="00175A29"/>
    <w:rsid w:val="00183A26"/>
    <w:rsid w:val="001A0AA0"/>
    <w:rsid w:val="001A538C"/>
    <w:rsid w:val="001D3530"/>
    <w:rsid w:val="001E0E3C"/>
    <w:rsid w:val="001E4782"/>
    <w:rsid w:val="002040FB"/>
    <w:rsid w:val="00206390"/>
    <w:rsid w:val="002424DC"/>
    <w:rsid w:val="00245F8F"/>
    <w:rsid w:val="00254282"/>
    <w:rsid w:val="00266687"/>
    <w:rsid w:val="002733FC"/>
    <w:rsid w:val="00273870"/>
    <w:rsid w:val="002926C5"/>
    <w:rsid w:val="002A5E91"/>
    <w:rsid w:val="002B740F"/>
    <w:rsid w:val="002C013A"/>
    <w:rsid w:val="002E013F"/>
    <w:rsid w:val="002E34C2"/>
    <w:rsid w:val="002E6A47"/>
    <w:rsid w:val="002F3816"/>
    <w:rsid w:val="00305298"/>
    <w:rsid w:val="003140BC"/>
    <w:rsid w:val="0034288B"/>
    <w:rsid w:val="0036309A"/>
    <w:rsid w:val="003802EC"/>
    <w:rsid w:val="003848F7"/>
    <w:rsid w:val="003A2628"/>
    <w:rsid w:val="003B424D"/>
    <w:rsid w:val="003D2524"/>
    <w:rsid w:val="003D6EAD"/>
    <w:rsid w:val="003F27E7"/>
    <w:rsid w:val="003F3988"/>
    <w:rsid w:val="00400BAE"/>
    <w:rsid w:val="00404421"/>
    <w:rsid w:val="00413013"/>
    <w:rsid w:val="00435D64"/>
    <w:rsid w:val="00437B4C"/>
    <w:rsid w:val="00446523"/>
    <w:rsid w:val="00453FFE"/>
    <w:rsid w:val="00462E0D"/>
    <w:rsid w:val="00467B0D"/>
    <w:rsid w:val="004743A9"/>
    <w:rsid w:val="004774BD"/>
    <w:rsid w:val="004D3820"/>
    <w:rsid w:val="004E4E26"/>
    <w:rsid w:val="004E6E3C"/>
    <w:rsid w:val="0051191E"/>
    <w:rsid w:val="00521CE6"/>
    <w:rsid w:val="005401F6"/>
    <w:rsid w:val="005421CB"/>
    <w:rsid w:val="0055254A"/>
    <w:rsid w:val="005614F0"/>
    <w:rsid w:val="00586D12"/>
    <w:rsid w:val="005A2826"/>
    <w:rsid w:val="005C092C"/>
    <w:rsid w:val="005C7A4A"/>
    <w:rsid w:val="005D28DA"/>
    <w:rsid w:val="005E06A6"/>
    <w:rsid w:val="005E5E61"/>
    <w:rsid w:val="005F3250"/>
    <w:rsid w:val="006214C0"/>
    <w:rsid w:val="00623E9D"/>
    <w:rsid w:val="00635236"/>
    <w:rsid w:val="00646373"/>
    <w:rsid w:val="00650801"/>
    <w:rsid w:val="00650961"/>
    <w:rsid w:val="00652772"/>
    <w:rsid w:val="006828A3"/>
    <w:rsid w:val="00696871"/>
    <w:rsid w:val="006B5A87"/>
    <w:rsid w:val="006B6EB3"/>
    <w:rsid w:val="006C2767"/>
    <w:rsid w:val="006E29DD"/>
    <w:rsid w:val="006F73FB"/>
    <w:rsid w:val="00704300"/>
    <w:rsid w:val="00704BFA"/>
    <w:rsid w:val="00763C70"/>
    <w:rsid w:val="007656A6"/>
    <w:rsid w:val="007675A1"/>
    <w:rsid w:val="007742A1"/>
    <w:rsid w:val="007817D7"/>
    <w:rsid w:val="00785BA7"/>
    <w:rsid w:val="007914DA"/>
    <w:rsid w:val="00795A2F"/>
    <w:rsid w:val="007975F7"/>
    <w:rsid w:val="007A2353"/>
    <w:rsid w:val="007B4FD1"/>
    <w:rsid w:val="007C2E5C"/>
    <w:rsid w:val="007C50CF"/>
    <w:rsid w:val="007D090D"/>
    <w:rsid w:val="007D0ABA"/>
    <w:rsid w:val="007D67F4"/>
    <w:rsid w:val="007F076E"/>
    <w:rsid w:val="008172DC"/>
    <w:rsid w:val="0083442C"/>
    <w:rsid w:val="00866075"/>
    <w:rsid w:val="008661D4"/>
    <w:rsid w:val="00880EAB"/>
    <w:rsid w:val="00884C72"/>
    <w:rsid w:val="00884E73"/>
    <w:rsid w:val="008A62F7"/>
    <w:rsid w:val="008A79CF"/>
    <w:rsid w:val="008B4BCD"/>
    <w:rsid w:val="008B5C2B"/>
    <w:rsid w:val="00927F12"/>
    <w:rsid w:val="00932FD2"/>
    <w:rsid w:val="00935D50"/>
    <w:rsid w:val="00935FC2"/>
    <w:rsid w:val="00953ED9"/>
    <w:rsid w:val="00962050"/>
    <w:rsid w:val="009A0AF4"/>
    <w:rsid w:val="009A19D4"/>
    <w:rsid w:val="009E62E1"/>
    <w:rsid w:val="00A064BC"/>
    <w:rsid w:val="00A23546"/>
    <w:rsid w:val="00A25813"/>
    <w:rsid w:val="00A309B2"/>
    <w:rsid w:val="00A312F2"/>
    <w:rsid w:val="00A765B2"/>
    <w:rsid w:val="00A83617"/>
    <w:rsid w:val="00A93783"/>
    <w:rsid w:val="00A968BB"/>
    <w:rsid w:val="00AB3A62"/>
    <w:rsid w:val="00AC01CD"/>
    <w:rsid w:val="00AC6A04"/>
    <w:rsid w:val="00B07A5C"/>
    <w:rsid w:val="00B124F7"/>
    <w:rsid w:val="00B26D8A"/>
    <w:rsid w:val="00B3072D"/>
    <w:rsid w:val="00B33828"/>
    <w:rsid w:val="00B4254C"/>
    <w:rsid w:val="00B67D59"/>
    <w:rsid w:val="00B71AC3"/>
    <w:rsid w:val="00B92FEB"/>
    <w:rsid w:val="00BA6528"/>
    <w:rsid w:val="00BD66B2"/>
    <w:rsid w:val="00BD6B9A"/>
    <w:rsid w:val="00BF0CC7"/>
    <w:rsid w:val="00C05DC3"/>
    <w:rsid w:val="00C1411B"/>
    <w:rsid w:val="00C177DD"/>
    <w:rsid w:val="00C178DF"/>
    <w:rsid w:val="00C31237"/>
    <w:rsid w:val="00C32B15"/>
    <w:rsid w:val="00C43FA9"/>
    <w:rsid w:val="00C573ED"/>
    <w:rsid w:val="00C61363"/>
    <w:rsid w:val="00C85267"/>
    <w:rsid w:val="00C91F63"/>
    <w:rsid w:val="00CA40BA"/>
    <w:rsid w:val="00CB1C77"/>
    <w:rsid w:val="00D04496"/>
    <w:rsid w:val="00D207FC"/>
    <w:rsid w:val="00D34918"/>
    <w:rsid w:val="00D4085D"/>
    <w:rsid w:val="00D462C4"/>
    <w:rsid w:val="00D506A2"/>
    <w:rsid w:val="00D56C6F"/>
    <w:rsid w:val="00D63FBB"/>
    <w:rsid w:val="00DA36FD"/>
    <w:rsid w:val="00DA572F"/>
    <w:rsid w:val="00DB64A3"/>
    <w:rsid w:val="00DC437E"/>
    <w:rsid w:val="00DF5330"/>
    <w:rsid w:val="00E00581"/>
    <w:rsid w:val="00E2652B"/>
    <w:rsid w:val="00E62FD6"/>
    <w:rsid w:val="00E8420D"/>
    <w:rsid w:val="00E86DF8"/>
    <w:rsid w:val="00E8754B"/>
    <w:rsid w:val="00E8762F"/>
    <w:rsid w:val="00EA06A8"/>
    <w:rsid w:val="00EA42A1"/>
    <w:rsid w:val="00EC7766"/>
    <w:rsid w:val="00ED70E3"/>
    <w:rsid w:val="00EF3AF1"/>
    <w:rsid w:val="00F015C0"/>
    <w:rsid w:val="00F0287C"/>
    <w:rsid w:val="00F10BAD"/>
    <w:rsid w:val="00F12C2A"/>
    <w:rsid w:val="00F13C71"/>
    <w:rsid w:val="00F21F30"/>
    <w:rsid w:val="00F227EF"/>
    <w:rsid w:val="00F31222"/>
    <w:rsid w:val="00F41569"/>
    <w:rsid w:val="00F842FE"/>
    <w:rsid w:val="00FB4E02"/>
    <w:rsid w:val="00FF4DC9"/>
    <w:rsid w:val="0DC857B1"/>
    <w:rsid w:val="178A795A"/>
    <w:rsid w:val="222C0678"/>
    <w:rsid w:val="375B0E3D"/>
    <w:rsid w:val="3A862795"/>
    <w:rsid w:val="423F067D"/>
    <w:rsid w:val="4E214E7F"/>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qFormat="1" w:uiPriority="99" w:name="Balloon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paragraph" w:styleId="2">
    <w:name w:val="heading 1"/>
    <w:basedOn w:val="1"/>
    <w:next w:val="1"/>
    <w:link w:val="22"/>
    <w:qFormat/>
    <w:uiPriority w:val="9"/>
    <w:pPr>
      <w:keepNext/>
      <w:keepLines/>
      <w:spacing w:before="240" w:after="0" w:line="259" w:lineRule="auto"/>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2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5"/>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8"/>
    <w:basedOn w:val="1"/>
    <w:next w:val="1"/>
    <w:link w:val="27"/>
    <w:semiHidden/>
    <w:unhideWhenUsed/>
    <w:qFormat/>
    <w:uiPriority w:val="9"/>
    <w:pPr>
      <w:keepNext/>
      <w:keepLines/>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default="1" w:styleId="6">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character" w:styleId="8">
    <w:name w:val="footnote reference"/>
    <w:basedOn w:val="6"/>
    <w:semiHidden/>
    <w:unhideWhenUsed/>
    <w:qFormat/>
    <w:uiPriority w:val="99"/>
    <w:rPr>
      <w:vertAlign w:val="superscript"/>
    </w:rPr>
  </w:style>
  <w:style w:type="paragraph" w:styleId="9">
    <w:name w:val="footnote text"/>
    <w:basedOn w:val="1"/>
    <w:link w:val="32"/>
    <w:semiHidden/>
    <w:unhideWhenUsed/>
    <w:qFormat/>
    <w:uiPriority w:val="99"/>
    <w:pPr>
      <w:spacing w:after="0" w:line="240" w:lineRule="auto"/>
    </w:pPr>
    <w:rPr>
      <w:sz w:val="20"/>
      <w:szCs w:val="20"/>
    </w:rPr>
  </w:style>
  <w:style w:type="paragraph" w:styleId="10">
    <w:name w:val="Balloon Text"/>
    <w:basedOn w:val="1"/>
    <w:link w:val="24"/>
    <w:semiHidden/>
    <w:unhideWhenUsed/>
    <w:qFormat/>
    <w:uiPriority w:val="99"/>
    <w:pPr>
      <w:spacing w:after="0" w:line="240" w:lineRule="auto"/>
    </w:pPr>
    <w:rPr>
      <w:rFonts w:ascii="Tahoma" w:hAnsi="Tahoma" w:cs="Tahoma"/>
      <w:sz w:val="16"/>
      <w:szCs w:val="16"/>
    </w:rPr>
  </w:style>
  <w:style w:type="paragraph" w:styleId="11">
    <w:name w:val="Body Text Indent 2"/>
    <w:basedOn w:val="1"/>
    <w:link w:val="17"/>
    <w:uiPriority w:val="0"/>
    <w:pPr>
      <w:spacing w:after="120" w:line="480" w:lineRule="auto"/>
      <w:ind w:left="283"/>
    </w:pPr>
    <w:rPr>
      <w:rFonts w:ascii="Times New Roman" w:hAnsi="Times New Roman" w:eastAsia="Times New Roman" w:cs="Times New Roman"/>
      <w:sz w:val="24"/>
      <w:szCs w:val="24"/>
      <w:lang w:eastAsia="fr-FR"/>
    </w:rPr>
  </w:style>
  <w:style w:type="paragraph" w:styleId="12">
    <w:name w:val="footer"/>
    <w:basedOn w:val="1"/>
    <w:link w:val="21"/>
    <w:unhideWhenUsed/>
    <w:qFormat/>
    <w:uiPriority w:val="99"/>
    <w:pPr>
      <w:tabs>
        <w:tab w:val="center" w:pos="4536"/>
        <w:tab w:val="right" w:pos="9072"/>
      </w:tabs>
      <w:spacing w:after="0" w:line="240" w:lineRule="auto"/>
    </w:pPr>
  </w:style>
  <w:style w:type="paragraph" w:styleId="13">
    <w:name w:val="header"/>
    <w:basedOn w:val="1"/>
    <w:link w:val="20"/>
    <w:unhideWhenUsed/>
    <w:qFormat/>
    <w:uiPriority w:val="99"/>
    <w:pPr>
      <w:tabs>
        <w:tab w:val="center" w:pos="4536"/>
        <w:tab w:val="right" w:pos="9072"/>
      </w:tabs>
      <w:spacing w:after="0" w:line="240" w:lineRule="auto"/>
    </w:pPr>
  </w:style>
  <w:style w:type="paragraph" w:styleId="14">
    <w:name w:val="toc 2"/>
    <w:basedOn w:val="1"/>
    <w:next w:val="1"/>
    <w:unhideWhenUsed/>
    <w:qFormat/>
    <w:uiPriority w:val="39"/>
    <w:pPr>
      <w:spacing w:after="100"/>
      <w:ind w:left="220"/>
    </w:pPr>
  </w:style>
  <w:style w:type="paragraph" w:styleId="15">
    <w:name w:val="toc 1"/>
    <w:basedOn w:val="1"/>
    <w:next w:val="1"/>
    <w:unhideWhenUsed/>
    <w:qFormat/>
    <w:uiPriority w:val="39"/>
    <w:pPr>
      <w:spacing w:after="100"/>
    </w:pPr>
  </w:style>
  <w:style w:type="character" w:customStyle="1" w:styleId="17">
    <w:name w:val="Retrait corps de texte 2 Car"/>
    <w:basedOn w:val="6"/>
    <w:link w:val="11"/>
    <w:uiPriority w:val="0"/>
    <w:rPr>
      <w:rFonts w:ascii="Times New Roman" w:hAnsi="Times New Roman" w:eastAsia="Times New Roman" w:cs="Times New Roman"/>
      <w:sz w:val="24"/>
      <w:szCs w:val="24"/>
      <w:lang w:eastAsia="fr-FR"/>
    </w:rPr>
  </w:style>
  <w:style w:type="paragraph" w:styleId="18">
    <w:name w:val="List Paragraph"/>
    <w:basedOn w:val="1"/>
    <w:link w:val="23"/>
    <w:qFormat/>
    <w:uiPriority w:val="34"/>
    <w:pPr>
      <w:ind w:left="720"/>
      <w:contextualSpacing/>
    </w:pPr>
  </w:style>
  <w:style w:type="character" w:customStyle="1" w:styleId="19">
    <w:name w:val="apple-converted-space"/>
    <w:basedOn w:val="6"/>
    <w:qFormat/>
    <w:uiPriority w:val="0"/>
  </w:style>
  <w:style w:type="character" w:customStyle="1" w:styleId="20">
    <w:name w:val="En-tête Car"/>
    <w:basedOn w:val="6"/>
    <w:link w:val="13"/>
    <w:qFormat/>
    <w:uiPriority w:val="99"/>
  </w:style>
  <w:style w:type="character" w:customStyle="1" w:styleId="21">
    <w:name w:val="Pied de page Car"/>
    <w:basedOn w:val="6"/>
    <w:link w:val="12"/>
    <w:uiPriority w:val="99"/>
  </w:style>
  <w:style w:type="character" w:customStyle="1" w:styleId="22">
    <w:name w:val="Titre 1 Car"/>
    <w:basedOn w:val="6"/>
    <w:link w:val="2"/>
    <w:uiPriority w:val="9"/>
    <w:rPr>
      <w:rFonts w:asciiTheme="majorHAnsi" w:hAnsiTheme="majorHAnsi" w:eastAsiaTheme="majorEastAsia" w:cstheme="majorBidi"/>
      <w:color w:val="376092" w:themeColor="accent1" w:themeShade="BF"/>
      <w:sz w:val="32"/>
      <w:szCs w:val="32"/>
    </w:rPr>
  </w:style>
  <w:style w:type="character" w:customStyle="1" w:styleId="23">
    <w:name w:val="Paragraphe de liste Car"/>
    <w:link w:val="18"/>
    <w:qFormat/>
    <w:uiPriority w:val="34"/>
  </w:style>
  <w:style w:type="character" w:customStyle="1" w:styleId="24">
    <w:name w:val="Texte de bulles Car"/>
    <w:basedOn w:val="6"/>
    <w:link w:val="10"/>
    <w:semiHidden/>
    <w:qFormat/>
    <w:uiPriority w:val="99"/>
    <w:rPr>
      <w:rFonts w:ascii="Tahoma" w:hAnsi="Tahoma" w:cs="Tahoma"/>
      <w:sz w:val="16"/>
      <w:szCs w:val="16"/>
    </w:rPr>
  </w:style>
  <w:style w:type="character" w:customStyle="1" w:styleId="25">
    <w:name w:val="Titre 3 Car"/>
    <w:basedOn w:val="6"/>
    <w:link w:val="4"/>
    <w:semiHidden/>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6">
    <w:name w:val="Titre 2 Car"/>
    <w:basedOn w:val="6"/>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7">
    <w:name w:val="Titre 8 Car"/>
    <w:basedOn w:val="6"/>
    <w:link w:val="5"/>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28">
    <w:name w:val="No Spacing"/>
    <w:link w:val="29"/>
    <w:qFormat/>
    <w:uiPriority w:val="1"/>
    <w:pPr>
      <w:spacing w:after="0" w:line="240" w:lineRule="auto"/>
    </w:pPr>
    <w:rPr>
      <w:rFonts w:ascii="Calibri" w:hAnsi="Calibri" w:eastAsia="Calibri" w:cs="Arial"/>
      <w:sz w:val="22"/>
      <w:szCs w:val="22"/>
      <w:lang w:val="fr-FR" w:eastAsia="en-US" w:bidi="ar-SA"/>
    </w:rPr>
  </w:style>
  <w:style w:type="character" w:customStyle="1" w:styleId="29">
    <w:name w:val="Sans interligne Car"/>
    <w:basedOn w:val="6"/>
    <w:link w:val="28"/>
    <w:qFormat/>
    <w:uiPriority w:val="1"/>
    <w:rPr>
      <w:rFonts w:ascii="Calibri" w:hAnsi="Calibri" w:eastAsia="Calibri" w:cs="Arial"/>
    </w:rPr>
  </w:style>
  <w:style w:type="table" w:customStyle="1" w:styleId="30">
    <w:name w:val="Tableau simple 11"/>
    <w:basedOn w:val="16"/>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1">
    <w:name w:val="Corps de texte 21"/>
    <w:basedOn w:val="1"/>
    <w:qFormat/>
    <w:uiPriority w:val="0"/>
    <w:pPr>
      <w:suppressAutoHyphens/>
      <w:spacing w:after="0" w:line="240" w:lineRule="auto"/>
      <w:jc w:val="center"/>
    </w:pPr>
    <w:rPr>
      <w:rFonts w:ascii="Times New Roman" w:hAnsi="Times New Roman" w:eastAsia="Times New Roman" w:cs="Times New Roman"/>
      <w:b/>
      <w:bCs/>
      <w:sz w:val="28"/>
      <w:szCs w:val="28"/>
      <w:u w:val="single"/>
      <w:lang w:eastAsia="ar-SA"/>
    </w:rPr>
  </w:style>
  <w:style w:type="character" w:customStyle="1" w:styleId="32">
    <w:name w:val="Note de bas de page Car"/>
    <w:basedOn w:val="6"/>
    <w:link w:val="9"/>
    <w:semiHidden/>
    <w:qFormat/>
    <w:uiPriority w:val="99"/>
    <w:rPr>
      <w:sz w:val="20"/>
      <w:szCs w:val="20"/>
    </w:rPr>
  </w:style>
  <w:style w:type="paragraph" w:customStyle="1" w:styleId="33">
    <w:name w:val="TOC Heading"/>
    <w:basedOn w:val="2"/>
    <w:next w:val="1"/>
    <w:unhideWhenUsed/>
    <w:qFormat/>
    <w:uiPriority w:val="39"/>
    <w:pPr>
      <w:outlineLvl w:val="9"/>
    </w:pPr>
    <w:rPr>
      <w:lang w:eastAsia="fr-F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C88D4-35B9-496F-B8CA-F82FB1EDED48}">
  <ds:schemaRefs/>
</ds:datastoreItem>
</file>

<file path=docProps/app.xml><?xml version="1.0" encoding="utf-8"?>
<Properties xmlns="http://schemas.openxmlformats.org/officeDocument/2006/extended-properties" xmlns:vt="http://schemas.openxmlformats.org/officeDocument/2006/docPropsVTypes">
  <Template>Normal.dotm</Template>
  <Company>Programme national de recherche sur la sécurité énergétique</Company>
  <Pages>42</Pages>
  <Words>8161</Words>
  <Characters>44890</Characters>
  <Lines>374</Lines>
  <Paragraphs>105</Paragraphs>
  <TotalTime>119</TotalTime>
  <ScaleCrop>false</ScaleCrop>
  <LinksUpToDate>false</LinksUpToDate>
  <CharactersWithSpaces>52946</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2022-03-17T10:32:00Z</dcterms:created>
  <dc:creator>Aissa Mefedjekh</dc:creator>
  <cp:lastModifiedBy>K.Aityahia</cp:lastModifiedBy>
  <cp:lastPrinted>2022-03-16T19:13:00Z</cp:lastPrinted>
  <dcterms:modified xsi:type="dcterms:W3CDTF">2022-03-17T12:55:46Z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1036-11.2.0.11029</vt:lpwstr>
  </property>
  <property fmtid="{D5CDD505-2E9C-101B-9397-08002B2CF9AE}" pid="3" name="ICV">
    <vt:lpwstr>195A40453E8C4712A64BAFA4F7A11DF4</vt:lpwstr>
  </property>
</Properties>
</file>